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SOTA прогнозирования временных рядов</w:t>
      </w:r>
    </w:p>
    <w:p>
      <w:pPr>
        <w:pStyle w:val="Executive"/>
        <w:widowControl/>
      </w:pPr>
      <w:r>
        <w:t>Обзор foundation-моделей, Transformer-архитектур, open-source autoresearch и методологии повышения точности с анализом неопределённости</w:t>
      </w:r>
    </w:p>
    <w:p>
      <w:pPr>
        <w:widowControl/>
      </w:pPr>
      <w:r>
        <w:t>Срез экосистемы: 12 сентября 2026 года. Под CI ниже понимаются два связанных, но разных объекта: интервалы неопределённости прогноза и статистическая неопределённость при сравнении моделей.</w:t>
      </w:r>
    </w:p>
    <w:p>
      <w:pPr>
        <w:pStyle w:val="Heading1"/>
      </w:pPr>
      <w:r>
        <w:t>Резюме для принятия решения</w:t>
      </w:r>
    </w:p>
    <w:p>
      <w:pPr>
        <w:pStyle w:val="Executive"/>
        <w:widowControl/>
      </w:pPr>
      <w:r>
        <w:t>Рынок перешёл от универсальных univariate-моделей к нативным multivariate foundation models с ковариатами и вероятностным выходом. TimesFM 3, Chronos-2, Toto 2.0 и Moirai 2.0 образуют актуальный передний край, но их публичные лидерства получены на разных версиях бенчмарков, с разными правилами агрегации и условиями лицензирования. Прямой вывод «модель X лучшая» методологически неверен.</w:t>
      </w:r>
    </w:p>
    <w:p>
      <w:pPr>
        <w:pStyle w:val="Executive"/>
        <w:widowControl/>
      </w:pPr>
      <w:r>
        <w:t>Для практической системы максимальную ожидаемую точность даёт не одиночный Transformer, а турнир из сильных наивных, статистических, tabular/GBM, task-specific deep learning и нескольких TS foundation models. Победитель выбирается только по замороженному rolling-origin backtest, а финальный прогноз обычно строится ансамблем кандидатов, статистически неотличимых от лидера.</w:t>
      </w:r>
    </w:p>
    <w:tbl>
      <w:tblPr>
        <w:tblStyle w:val="TableGrid"/>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1800"/>
            <w:shd w:fill="16324F"/>
            <w:vAlign w:val="center"/>
            <w:tcMar>
              <w:top w:w="80" w:type="dxa"/>
              <w:start w:w="90" w:type="dxa"/>
              <w:bottom w:w="80" w:type="dxa"/>
              <w:end w:w="90" w:type="dxa"/>
            </w:tcMar>
          </w:tcPr>
          <w:p>
            <w:pPr>
              <w:spacing w:after="0"/>
            </w:pPr>
            <w:r>
              <w:rPr>
                <w:b/>
                <w:color w:val="FFFFFF"/>
                <w:sz w:val="15"/>
              </w:rPr>
              <w:t>Режим</w:t>
            </w:r>
          </w:p>
        </w:tc>
        <w:tc>
          <w:tcPr>
            <w:tcW w:type="dxa" w:w="2232"/>
            <w:shd w:fill="16324F"/>
            <w:vAlign w:val="center"/>
            <w:tcMar>
              <w:top w:w="80" w:type="dxa"/>
              <w:start w:w="90" w:type="dxa"/>
              <w:bottom w:w="80" w:type="dxa"/>
              <w:end w:w="90" w:type="dxa"/>
            </w:tcMar>
          </w:tcPr>
          <w:p>
            <w:pPr>
              <w:spacing w:after="0"/>
            </w:pPr>
            <w:r>
              <w:rPr>
                <w:b/>
                <w:color w:val="FFFFFF"/>
                <w:sz w:val="15"/>
              </w:rPr>
              <w:t>Первый кандидат</w:t>
            </w:r>
          </w:p>
        </w:tc>
        <w:tc>
          <w:tcPr>
            <w:tcW w:type="dxa" w:w="2232"/>
            <w:shd w:fill="16324F"/>
            <w:vAlign w:val="center"/>
            <w:tcMar>
              <w:top w:w="80" w:type="dxa"/>
              <w:start w:w="90" w:type="dxa"/>
              <w:bottom w:w="80" w:type="dxa"/>
              <w:end w:w="90" w:type="dxa"/>
            </w:tcMar>
          </w:tcPr>
          <w:p>
            <w:pPr>
              <w:spacing w:after="0"/>
            </w:pPr>
            <w:r>
              <w:rPr>
                <w:b/>
                <w:color w:val="FFFFFF"/>
                <w:sz w:val="15"/>
              </w:rPr>
              <w:t>Обязательная страховка</w:t>
            </w:r>
          </w:p>
        </w:tc>
        <w:tc>
          <w:tcPr>
            <w:tcW w:type="dxa" w:w="4320"/>
            <w:shd w:fill="16324F"/>
            <w:vAlign w:val="center"/>
            <w:tcMar>
              <w:top w:w="80" w:type="dxa"/>
              <w:start w:w="90" w:type="dxa"/>
              <w:bottom w:w="80" w:type="dxa"/>
              <w:end w:w="90" w:type="dxa"/>
            </w:tcMar>
          </w:tcPr>
          <w:p>
            <w:pPr>
              <w:spacing w:after="0"/>
            </w:pPr>
            <w:r>
              <w:rPr>
                <w:b/>
                <w:color w:val="FFFFFF"/>
                <w:sz w:val="15"/>
              </w:rPr>
              <w:t>Почему</w:t>
            </w:r>
          </w:p>
        </w:tc>
      </w:tr>
      <w:tr>
        <w:trPr>
          <w:cantSplit/>
        </w:trPr>
        <w:tc>
          <w:tcPr>
            <w:tcW w:type="dxa" w:w="1800"/>
            <w:vAlign w:val="top"/>
            <w:tcMar>
              <w:top w:w="80" w:type="dxa"/>
              <w:start w:w="90" w:type="dxa"/>
              <w:bottom w:w="80" w:type="dxa"/>
              <w:end w:w="90" w:type="dxa"/>
            </w:tcMar>
          </w:tcPr>
          <w:p>
            <w:pPr>
              <w:spacing w:after="0" w:line="240" w:lineRule="auto"/>
            </w:pPr>
            <w:r>
              <w:rPr>
                <w:sz w:val="15"/>
              </w:rPr>
              <w:t>Zero-shot, multivariate + future covariates</w:t>
            </w:r>
          </w:p>
        </w:tc>
        <w:tc>
          <w:tcPr>
            <w:tcW w:type="dxa" w:w="2232"/>
            <w:vAlign w:val="top"/>
            <w:tcMar>
              <w:top w:w="80" w:type="dxa"/>
              <w:start w:w="90" w:type="dxa"/>
              <w:bottom w:w="80" w:type="dxa"/>
              <w:end w:w="90" w:type="dxa"/>
            </w:tcMar>
          </w:tcPr>
          <w:p>
            <w:pPr>
              <w:spacing w:after="0" w:line="240" w:lineRule="auto"/>
            </w:pPr>
            <w:r>
              <w:rPr>
                <w:sz w:val="15"/>
              </w:rPr>
              <w:t>Chronos-2 / TimesFM 3</w:t>
            </w:r>
          </w:p>
        </w:tc>
        <w:tc>
          <w:tcPr>
            <w:tcW w:type="dxa" w:w="2232"/>
            <w:vAlign w:val="top"/>
            <w:tcMar>
              <w:top w:w="80" w:type="dxa"/>
              <w:start w:w="90" w:type="dxa"/>
              <w:bottom w:w="80" w:type="dxa"/>
              <w:end w:w="90" w:type="dxa"/>
            </w:tcMar>
          </w:tcPr>
          <w:p>
            <w:pPr>
              <w:spacing w:after="0" w:line="240" w:lineRule="auto"/>
            </w:pPr>
            <w:r>
              <w:rPr>
                <w:sz w:val="15"/>
              </w:rPr>
              <w:t>Seasonal Naive + GBM</w:t>
            </w:r>
          </w:p>
        </w:tc>
        <w:tc>
          <w:tcPr>
            <w:tcW w:type="dxa" w:w="4320"/>
            <w:vAlign w:val="top"/>
            <w:tcMar>
              <w:top w:w="80" w:type="dxa"/>
              <w:start w:w="90" w:type="dxa"/>
              <w:bottom w:w="80" w:type="dxa"/>
              <w:end w:w="90" w:type="dxa"/>
            </w:tcMar>
          </w:tcPr>
          <w:p>
            <w:pPr>
              <w:spacing w:after="0" w:line="240" w:lineRule="auto"/>
            </w:pPr>
            <w:r>
              <w:rPr>
                <w:sz w:val="15"/>
              </w:rPr>
              <w:t>Современные TSFM нативно используют связанные ряды и известные будущие факторы.</w:t>
            </w:r>
          </w:p>
        </w:tc>
      </w:tr>
      <w:tr>
        <w:trPr>
          <w:cantSplit/>
        </w:trPr>
        <w:tc>
          <w:tcPr>
            <w:tcW w:type="dxa" w:w="1800"/>
            <w:vAlign w:val="top"/>
            <w:tcMar>
              <w:top w:w="80" w:type="dxa"/>
              <w:start w:w="90" w:type="dxa"/>
              <w:bottom w:w="80" w:type="dxa"/>
              <w:end w:w="90" w:type="dxa"/>
            </w:tcMar>
            <w:shd w:fill="F3F6F8"/>
          </w:tcPr>
          <w:p>
            <w:pPr>
              <w:spacing w:after="0" w:line="240" w:lineRule="auto"/>
            </w:pPr>
            <w:r>
              <w:rPr>
                <w:sz w:val="15"/>
              </w:rPr>
              <w:t>Большой универсальный probabilistic forecast</w:t>
            </w:r>
          </w:p>
        </w:tc>
        <w:tc>
          <w:tcPr>
            <w:tcW w:type="dxa" w:w="2232"/>
            <w:vAlign w:val="top"/>
            <w:tcMar>
              <w:top w:w="80" w:type="dxa"/>
              <w:start w:w="90" w:type="dxa"/>
              <w:bottom w:w="80" w:type="dxa"/>
              <w:end w:w="90" w:type="dxa"/>
            </w:tcMar>
            <w:shd w:fill="F3F6F8"/>
          </w:tcPr>
          <w:p>
            <w:pPr>
              <w:spacing w:after="0" w:line="240" w:lineRule="auto"/>
            </w:pPr>
            <w:r>
              <w:rPr>
                <w:sz w:val="15"/>
              </w:rPr>
              <w:t>Toto 2.0 / TimesFM 3</w:t>
            </w:r>
          </w:p>
        </w:tc>
        <w:tc>
          <w:tcPr>
            <w:tcW w:type="dxa" w:w="2232"/>
            <w:vAlign w:val="top"/>
            <w:tcMar>
              <w:top w:w="80" w:type="dxa"/>
              <w:start w:w="90" w:type="dxa"/>
              <w:bottom w:w="80" w:type="dxa"/>
              <w:end w:w="90" w:type="dxa"/>
            </w:tcMar>
            <w:shd w:fill="F3F6F8"/>
          </w:tcPr>
          <w:p>
            <w:pPr>
              <w:spacing w:after="0" w:line="240" w:lineRule="auto"/>
            </w:pPr>
            <w:r>
              <w:rPr>
                <w:sz w:val="15"/>
              </w:rPr>
              <w:t>Quantile GBM + conformal</w:t>
            </w:r>
          </w:p>
        </w:tc>
        <w:tc>
          <w:tcPr>
            <w:tcW w:type="dxa" w:w="4320"/>
            <w:vAlign w:val="top"/>
            <w:tcMar>
              <w:top w:w="80" w:type="dxa"/>
              <w:start w:w="90" w:type="dxa"/>
              <w:bottom w:w="80" w:type="dxa"/>
              <w:end w:w="90" w:type="dxa"/>
            </w:tcMar>
            <w:shd w:fill="F3F6F8"/>
          </w:tcPr>
          <w:p>
            <w:pPr>
              <w:spacing w:after="0" w:line="240" w:lineRule="auto"/>
            </w:pPr>
            <w:r>
              <w:rPr>
                <w:sz w:val="15"/>
              </w:rPr>
              <w:t>Нативные квантили; проверять calibration отдельно от point error.</w:t>
            </w:r>
          </w:p>
        </w:tc>
      </w:tr>
      <w:tr>
        <w:trPr>
          <w:cantSplit/>
        </w:trPr>
        <w:tc>
          <w:tcPr>
            <w:tcW w:type="dxa" w:w="1800"/>
            <w:vAlign w:val="top"/>
            <w:tcMar>
              <w:top w:w="80" w:type="dxa"/>
              <w:start w:w="90" w:type="dxa"/>
              <w:bottom w:w="80" w:type="dxa"/>
              <w:end w:w="90" w:type="dxa"/>
            </w:tcMar>
          </w:tcPr>
          <w:p>
            <w:pPr>
              <w:spacing w:after="0" w:line="240" w:lineRule="auto"/>
            </w:pPr>
            <w:r>
              <w:rPr>
                <w:sz w:val="15"/>
              </w:rPr>
              <w:t>CPU / низкая задержка</w:t>
            </w:r>
          </w:p>
        </w:tc>
        <w:tc>
          <w:tcPr>
            <w:tcW w:type="dxa" w:w="2232"/>
            <w:vAlign w:val="top"/>
            <w:tcMar>
              <w:top w:w="80" w:type="dxa"/>
              <w:start w:w="90" w:type="dxa"/>
              <w:bottom w:w="80" w:type="dxa"/>
              <w:end w:w="90" w:type="dxa"/>
            </w:tcMar>
          </w:tcPr>
          <w:p>
            <w:pPr>
              <w:spacing w:after="0" w:line="240" w:lineRule="auto"/>
            </w:pPr>
            <w:r>
              <w:rPr>
                <w:sz w:val="15"/>
              </w:rPr>
              <w:t>TTM / Chronos-Bolt / TSMixer</w:t>
            </w:r>
          </w:p>
        </w:tc>
        <w:tc>
          <w:tcPr>
            <w:tcW w:type="dxa" w:w="2232"/>
            <w:vAlign w:val="top"/>
            <w:tcMar>
              <w:top w:w="80" w:type="dxa"/>
              <w:start w:w="90" w:type="dxa"/>
              <w:bottom w:w="80" w:type="dxa"/>
              <w:end w:w="90" w:type="dxa"/>
            </w:tcMar>
          </w:tcPr>
          <w:p>
            <w:pPr>
              <w:spacing w:after="0" w:line="240" w:lineRule="auto"/>
            </w:pPr>
            <w:r>
              <w:rPr>
                <w:sz w:val="15"/>
              </w:rPr>
              <w:t>ETS/AutoARIMA</w:t>
            </w:r>
          </w:p>
        </w:tc>
        <w:tc>
          <w:tcPr>
            <w:tcW w:type="dxa" w:w="4320"/>
            <w:vAlign w:val="top"/>
            <w:tcMar>
              <w:top w:w="80" w:type="dxa"/>
              <w:start w:w="90" w:type="dxa"/>
              <w:bottom w:w="80" w:type="dxa"/>
              <w:end w:w="90" w:type="dxa"/>
            </w:tcMar>
          </w:tcPr>
          <w:p>
            <w:pPr>
              <w:spacing w:after="0" w:line="240" w:lineRule="auto"/>
            </w:pPr>
            <w:r>
              <w:rPr>
                <w:sz w:val="15"/>
              </w:rPr>
              <w:t>Компактные модели часто дают лучшую экономику при небольшой потере качества.</w:t>
            </w:r>
          </w:p>
        </w:tc>
      </w:tr>
      <w:tr>
        <w:trPr>
          <w:cantSplit/>
        </w:trPr>
        <w:tc>
          <w:tcPr>
            <w:tcW w:type="dxa" w:w="1800"/>
            <w:vAlign w:val="top"/>
            <w:tcMar>
              <w:top w:w="80" w:type="dxa"/>
              <w:start w:w="90" w:type="dxa"/>
              <w:bottom w:w="80" w:type="dxa"/>
              <w:end w:w="90" w:type="dxa"/>
            </w:tcMar>
            <w:shd w:fill="F3F6F8"/>
          </w:tcPr>
          <w:p>
            <w:pPr>
              <w:spacing w:after="0" w:line="240" w:lineRule="auto"/>
            </w:pPr>
            <w:r>
              <w:rPr>
                <w:sz w:val="15"/>
              </w:rPr>
              <w:t>Long-context и сложная многомерность</w:t>
            </w:r>
          </w:p>
        </w:tc>
        <w:tc>
          <w:tcPr>
            <w:tcW w:type="dxa" w:w="2232"/>
            <w:vAlign w:val="top"/>
            <w:tcMar>
              <w:top w:w="80" w:type="dxa"/>
              <w:start w:w="90" w:type="dxa"/>
              <w:bottom w:w="80" w:type="dxa"/>
              <w:end w:w="90" w:type="dxa"/>
            </w:tcMar>
            <w:shd w:fill="F3F6F8"/>
          </w:tcPr>
          <w:p>
            <w:pPr>
              <w:spacing w:after="0" w:line="240" w:lineRule="auto"/>
            </w:pPr>
            <w:r>
              <w:rPr>
                <w:sz w:val="15"/>
              </w:rPr>
              <w:t>Toto 2.0 / Timer-XL</w:t>
            </w:r>
          </w:p>
        </w:tc>
        <w:tc>
          <w:tcPr>
            <w:tcW w:type="dxa" w:w="2232"/>
            <w:vAlign w:val="top"/>
            <w:tcMar>
              <w:top w:w="80" w:type="dxa"/>
              <w:start w:w="90" w:type="dxa"/>
              <w:bottom w:w="80" w:type="dxa"/>
              <w:end w:w="90" w:type="dxa"/>
            </w:tcMar>
            <w:shd w:fill="F3F6F8"/>
          </w:tcPr>
          <w:p>
            <w:pPr>
              <w:spacing w:after="0" w:line="240" w:lineRule="auto"/>
            </w:pPr>
            <w:r>
              <w:rPr>
                <w:sz w:val="15"/>
              </w:rPr>
              <w:t>PatchTST/iTransformer</w:t>
            </w:r>
          </w:p>
        </w:tc>
        <w:tc>
          <w:tcPr>
            <w:tcW w:type="dxa" w:w="4320"/>
            <w:vAlign w:val="top"/>
            <w:tcMar>
              <w:top w:w="80" w:type="dxa"/>
              <w:start w:w="90" w:type="dxa"/>
              <w:bottom w:w="80" w:type="dxa"/>
              <w:end w:w="90" w:type="dxa"/>
            </w:tcMar>
            <w:shd w:fill="F3F6F8"/>
          </w:tcPr>
          <w:p>
            <w:pPr>
              <w:spacing w:after="0" w:line="240" w:lineRule="auto"/>
            </w:pPr>
            <w:r>
              <w:rPr>
                <w:sz w:val="15"/>
              </w:rPr>
              <w:t>Механизмы межпеременного внимания и длинный контекст.</w:t>
            </w:r>
          </w:p>
        </w:tc>
      </w:tr>
      <w:tr>
        <w:trPr>
          <w:cantSplit/>
        </w:trPr>
        <w:tc>
          <w:tcPr>
            <w:tcW w:type="dxa" w:w="1800"/>
            <w:vAlign w:val="top"/>
            <w:tcMar>
              <w:top w:w="80" w:type="dxa"/>
              <w:start w:w="90" w:type="dxa"/>
              <w:bottom w:w="80" w:type="dxa"/>
              <w:end w:w="90" w:type="dxa"/>
            </w:tcMar>
          </w:tcPr>
          <w:p>
            <w:pPr>
              <w:spacing w:after="0" w:line="240" w:lineRule="auto"/>
            </w:pPr>
            <w:r>
              <w:rPr>
                <w:sz w:val="15"/>
              </w:rPr>
              <w:t>Много бизнес-серий</w:t>
            </w:r>
          </w:p>
        </w:tc>
        <w:tc>
          <w:tcPr>
            <w:tcW w:type="dxa" w:w="2232"/>
            <w:vAlign w:val="top"/>
            <w:tcMar>
              <w:top w:w="80" w:type="dxa"/>
              <w:start w:w="90" w:type="dxa"/>
              <w:bottom w:w="80" w:type="dxa"/>
              <w:end w:w="90" w:type="dxa"/>
            </w:tcMar>
          </w:tcPr>
          <w:p>
            <w:pPr>
              <w:spacing w:after="0" w:line="240" w:lineRule="auto"/>
            </w:pPr>
            <w:r>
              <w:rPr>
                <w:sz w:val="15"/>
              </w:rPr>
              <w:t>AutoGluon + MLForecast + TSFM</w:t>
            </w:r>
          </w:p>
        </w:tc>
        <w:tc>
          <w:tcPr>
            <w:tcW w:type="dxa" w:w="2232"/>
            <w:vAlign w:val="top"/>
            <w:tcMar>
              <w:top w:w="80" w:type="dxa"/>
              <w:start w:w="90" w:type="dxa"/>
              <w:bottom w:w="80" w:type="dxa"/>
              <w:end w:w="90" w:type="dxa"/>
            </w:tcMar>
          </w:tcPr>
          <w:p>
            <w:pPr>
              <w:spacing w:after="0" w:line="240" w:lineRule="auto"/>
            </w:pPr>
            <w:r>
              <w:rPr>
                <w:sz w:val="15"/>
              </w:rPr>
              <w:t>HierarchicalForecast</w:t>
            </w:r>
          </w:p>
        </w:tc>
        <w:tc>
          <w:tcPr>
            <w:tcW w:type="dxa" w:w="4320"/>
            <w:vAlign w:val="top"/>
            <w:tcMar>
              <w:top w:w="80" w:type="dxa"/>
              <w:start w:w="90" w:type="dxa"/>
              <w:bottom w:w="80" w:type="dxa"/>
              <w:end w:w="90" w:type="dxa"/>
            </w:tcMar>
          </w:tcPr>
          <w:p>
            <w:pPr>
              <w:spacing w:after="0" w:line="240" w:lineRule="auto"/>
            </w:pPr>
            <w:r>
              <w:rPr>
                <w:sz w:val="15"/>
              </w:rPr>
              <w:t>Масштабируемый feature pipeline, weighted ensemble и reconciliation.</w:t>
            </w:r>
          </w:p>
        </w:tc>
      </w:tr>
      <w:tr>
        <w:trPr>
          <w:cantSplit/>
        </w:trPr>
        <w:tc>
          <w:tcPr>
            <w:tcW w:type="dxa" w:w="1800"/>
            <w:vAlign w:val="top"/>
            <w:tcMar>
              <w:top w:w="80" w:type="dxa"/>
              <w:start w:w="90" w:type="dxa"/>
              <w:bottom w:w="80" w:type="dxa"/>
              <w:end w:w="90" w:type="dxa"/>
            </w:tcMar>
            <w:shd w:fill="F3F6F8"/>
          </w:tcPr>
          <w:p>
            <w:pPr>
              <w:spacing w:after="0" w:line="240" w:lineRule="auto"/>
            </w:pPr>
            <w:r>
              <w:rPr>
                <w:sz w:val="15"/>
              </w:rPr>
              <w:t>Неопределённость критична</w:t>
            </w:r>
          </w:p>
        </w:tc>
        <w:tc>
          <w:tcPr>
            <w:tcW w:type="dxa" w:w="2232"/>
            <w:vAlign w:val="top"/>
            <w:tcMar>
              <w:top w:w="80" w:type="dxa"/>
              <w:start w:w="90" w:type="dxa"/>
              <w:bottom w:w="80" w:type="dxa"/>
              <w:end w:w="90" w:type="dxa"/>
            </w:tcMar>
            <w:shd w:fill="F3F6F8"/>
          </w:tcPr>
          <w:p>
            <w:pPr>
              <w:spacing w:after="0" w:line="240" w:lineRule="auto"/>
            </w:pPr>
            <w:r>
              <w:rPr>
                <w:sz w:val="15"/>
              </w:rPr>
              <w:t>Нативные квантили + CQR/EnbPI/ACI</w:t>
            </w:r>
          </w:p>
        </w:tc>
        <w:tc>
          <w:tcPr>
            <w:tcW w:type="dxa" w:w="2232"/>
            <w:vAlign w:val="top"/>
            <w:tcMar>
              <w:top w:w="80" w:type="dxa"/>
              <w:start w:w="90" w:type="dxa"/>
              <w:bottom w:w="80" w:type="dxa"/>
              <w:end w:w="90" w:type="dxa"/>
            </w:tcMar>
            <w:shd w:fill="F3F6F8"/>
          </w:tcPr>
          <w:p>
            <w:pPr>
              <w:spacing w:after="0" w:line="240" w:lineRule="auto"/>
            </w:pPr>
            <w:r>
              <w:rPr>
                <w:sz w:val="15"/>
              </w:rPr>
              <w:t>Coverage alarms</w:t>
            </w:r>
          </w:p>
        </w:tc>
        <w:tc>
          <w:tcPr>
            <w:tcW w:type="dxa" w:w="4320"/>
            <w:vAlign w:val="top"/>
            <w:tcMar>
              <w:top w:w="80" w:type="dxa"/>
              <w:start w:w="90" w:type="dxa"/>
              <w:bottom w:w="80" w:type="dxa"/>
              <w:end w:w="90" w:type="dxa"/>
            </w:tcMar>
            <w:shd w:fill="F3F6F8"/>
          </w:tcPr>
          <w:p>
            <w:pPr>
              <w:spacing w:after="0" w:line="240" w:lineRule="auto"/>
            </w:pPr>
            <w:r>
              <w:rPr>
                <w:sz w:val="15"/>
              </w:rPr>
              <w:t>Посткалибровка исправляет недо- и перекрытие при сдвиге режима.</w:t>
            </w:r>
          </w:p>
        </w:tc>
      </w:tr>
    </w:tbl>
    <w:p>
      <w:pPr>
        <w:spacing w:after="0"/>
      </w:pPr>
    </w:p>
    <w:p>
      <w:pPr>
        <w:widowControl/>
      </w:pPr>
      <w:r>
        <w:t>Рекомендованный open-source контур: AutoGluon TimeSeries как быстрый оркестратор; MLForecast/StatsForecast для сильных ML и статистических baseline; Chronos-2, TimesFM 2.5 или 3 только при приемлемой лицензии, Toto 2.0 и Moirai 2.0 как foundation-кандидаты; HierarchicalForecast для согласования; MAPIE или conformal-модуль MLForecast для посткалибровки; MLflow/Weights &amp; Biases и Git/DVC для воспроизводимости. Агент Codex/Claude должен менять только код кандидата, но не данные, backtest и итоговый scorekeeper.</w:t>
      </w:r>
    </w:p>
    <w:p>
      <w:pPr>
        <w:pStyle w:val="Heading1"/>
      </w:pPr>
      <w:r>
        <w:t>1. Что считать SOTA в 2026 году</w:t>
      </w:r>
    </w:p>
    <w:p>
      <w:pPr>
        <w:widowControl/>
      </w:pPr>
      <w:r>
        <w:t>SOTA — это не максимальная цифра в таблице автора. Для временных рядов результат имеет смысл только в конкретной комбинации: набор данных, горизонт, частота, доступные ковариаты, стратегия multivariate/global/local, вычислительный бюджет, метрика и protocol leakage. GIFT-Eval охватывает почти сотню задач в семи доменах и публикует ранги по MASE и CRPS; с 2025 года проект отдельно маркирует риск утечки тестовых данных и наличие кода репликации.</w:t>
      </w:r>
      <w:r>
        <w:footnoteReference w:id="1"/>
      </w:r>
    </w:p>
    <w:p>
      <w:pPr>
        <w:widowControl/>
      </w:pPr>
      <w:r>
        <w:t>Вывод: публичный benchmark нужен для отбора shortlist, но коммерческое решение определяется вашим замороженным out-of-sample тестом. Особенно опасны общедоступные ряды, которые могли попасть в pretraining foundation-модели. Термин zero-shot следует использовать только когда нет обучения, настройки или скрытой утечки на целевом тесте.</w:t>
      </w:r>
    </w:p>
    <w:p>
      <w:pPr>
        <w:pStyle w:val="Heading2"/>
      </w:pPr>
      <w:r>
        <w:t>1.1. Минимальный стандарт доказательства</w:t>
      </w:r>
    </w:p>
    <w:p>
      <w:pPr>
        <w:pStyle w:val="ListBullet"/>
        <w:spacing w:after="60"/>
      </w:pPr>
      <w:r>
        <w:t>Несколько rolling origins, а не единственный train/test split; expanding или sliding window выбирается по механике дрейфа.</w:t>
      </w:r>
    </w:p>
    <w:p>
      <w:pPr>
        <w:pStyle w:val="ListBullet"/>
        <w:spacing w:after="60"/>
      </w:pPr>
      <w:r>
        <w:t>Последний holdout заморожен до завершения выбора модели; агент и человек не видят его метрики во время поиска.</w:t>
      </w:r>
    </w:p>
    <w:p>
      <w:pPr>
        <w:pStyle w:val="ListBullet"/>
        <w:spacing w:after="60"/>
      </w:pPr>
      <w:r>
        <w:t>Наивный сезонный baseline обязателен. Без него невозможно понять, есть ли реальный сигнал сверх сезонности.</w:t>
      </w:r>
    </w:p>
    <w:p>
      <w:pPr>
        <w:pStyle w:val="ListBullet"/>
        <w:spacing w:after="60"/>
      </w:pPr>
      <w:r>
        <w:t>Point и probabilistic цели оцениваются раздельно: MASE/RMSSE или business loss для точки; WIS/CRPS, coverage и width для распределения.</w:t>
      </w:r>
    </w:p>
    <w:p>
      <w:pPr>
        <w:pStyle w:val="ListBullet"/>
        <w:spacing w:after="60"/>
      </w:pPr>
      <w:r>
        <w:t>Результаты разбиваются по горизонту, серии, масштабу, режиму, доле нулей и availability ковариат.</w:t>
      </w:r>
    </w:p>
    <w:p>
      <w:pPr>
        <w:pStyle w:val="ListBullet"/>
        <w:spacing w:after="60"/>
      </w:pPr>
      <w:r>
        <w:t>Сообщаются не только средние ранги, но и dispersion, доля побед, доверительный интервал разницы и Model Confidence Set.</w:t>
      </w:r>
    </w:p>
    <w:p>
      <w:pPr>
        <w:pStyle w:val="Heading1"/>
      </w:pPr>
      <w:r>
        <w:t>2. Передний край foundation-моделей</w:t>
      </w:r>
    </w:p>
    <w:p>
      <w:pPr>
        <w:widowControl/>
      </w:pPr>
      <w:r>
        <w:t>Наиболее заметный архитектурный сдвиг — от токенизации значений и чистого univariate forecasting к patch-based continuous models, которые обмениваются информацией между variates и принимают past-only либо known-future covariates. Второй сдвиг — обязательный вероятностный выход: квантили или сэмплы, а не только среднее.</w:t>
      </w:r>
    </w:p>
    <w:tbl>
      <w:tblPr>
        <w:tblStyle w:val="TableGrid"/>
        <w:tblW w:type="auto" w:w="0"/>
        <w:jc w:val="center"/>
        <w:tblLayout w:type="fixed"/>
        <w:tblLook w:firstColumn="1" w:firstRow="1" w:lastColumn="0" w:lastRow="0" w:noHBand="0" w:noVBand="1" w:val="04A0"/>
      </w:tblPr>
      <w:tblGrid>
        <w:gridCol w:w="2033"/>
        <w:gridCol w:w="2033"/>
        <w:gridCol w:w="2033"/>
        <w:gridCol w:w="2033"/>
        <w:gridCol w:w="2033"/>
      </w:tblGrid>
      <w:tr>
        <w:trPr>
          <w:tblHeader w:val="true"/>
        </w:trPr>
        <w:tc>
          <w:tcPr>
            <w:tcW w:type="dxa" w:w="1440"/>
            <w:shd w:fill="16324F"/>
            <w:vAlign w:val="center"/>
            <w:tcMar>
              <w:top w:w="80" w:type="dxa"/>
              <w:start w:w="90" w:type="dxa"/>
              <w:bottom w:w="80" w:type="dxa"/>
              <w:end w:w="90" w:type="dxa"/>
            </w:tcMar>
          </w:tcPr>
          <w:p>
            <w:pPr>
              <w:spacing w:after="0"/>
            </w:pPr>
            <w:r>
              <w:rPr>
                <w:b/>
                <w:color w:val="FFFFFF"/>
                <w:sz w:val="14"/>
              </w:rPr>
              <w:t>Модель</w:t>
            </w:r>
          </w:p>
        </w:tc>
        <w:tc>
          <w:tcPr>
            <w:tcW w:type="dxa" w:w="1440"/>
            <w:shd w:fill="16324F"/>
            <w:vAlign w:val="center"/>
            <w:tcMar>
              <w:top w:w="80" w:type="dxa"/>
              <w:start w:w="90" w:type="dxa"/>
              <w:bottom w:w="80" w:type="dxa"/>
              <w:end w:w="90" w:type="dxa"/>
            </w:tcMar>
          </w:tcPr>
          <w:p>
            <w:pPr>
              <w:spacing w:after="0"/>
            </w:pPr>
            <w:r>
              <w:rPr>
                <w:b/>
                <w:color w:val="FFFFFF"/>
                <w:sz w:val="14"/>
              </w:rPr>
              <w:t>Масштаб / релиз</w:t>
            </w:r>
          </w:p>
        </w:tc>
        <w:tc>
          <w:tcPr>
            <w:tcW w:type="dxa" w:w="2952"/>
            <w:shd w:fill="16324F"/>
            <w:vAlign w:val="center"/>
            <w:tcMar>
              <w:top w:w="80" w:type="dxa"/>
              <w:start w:w="90" w:type="dxa"/>
              <w:bottom w:w="80" w:type="dxa"/>
              <w:end w:w="90" w:type="dxa"/>
            </w:tcMar>
          </w:tcPr>
          <w:p>
            <w:pPr>
              <w:spacing w:after="0"/>
            </w:pPr>
            <w:r>
              <w:rPr>
                <w:b/>
                <w:color w:val="FFFFFF"/>
                <w:sz w:val="14"/>
              </w:rPr>
              <w:t>Сильные стороны</w:t>
            </w:r>
          </w:p>
        </w:tc>
        <w:tc>
          <w:tcPr>
            <w:tcW w:type="dxa" w:w="2880"/>
            <w:shd w:fill="16324F"/>
            <w:vAlign w:val="center"/>
            <w:tcMar>
              <w:top w:w="80" w:type="dxa"/>
              <w:start w:w="90" w:type="dxa"/>
              <w:bottom w:w="80" w:type="dxa"/>
              <w:end w:w="90" w:type="dxa"/>
            </w:tcMar>
          </w:tcPr>
          <w:p>
            <w:pPr>
              <w:spacing w:after="0"/>
            </w:pPr>
            <w:r>
              <w:rPr>
                <w:b/>
                <w:color w:val="FFFFFF"/>
                <w:sz w:val="14"/>
              </w:rPr>
              <w:t>Ограничения</w:t>
            </w:r>
          </w:p>
        </w:tc>
        <w:tc>
          <w:tcPr>
            <w:tcW w:type="dxa" w:w="1800"/>
            <w:shd w:fill="16324F"/>
            <w:vAlign w:val="center"/>
            <w:tcMar>
              <w:top w:w="80" w:type="dxa"/>
              <w:start w:w="90" w:type="dxa"/>
              <w:bottom w:w="80" w:type="dxa"/>
              <w:end w:w="90" w:type="dxa"/>
            </w:tcMar>
          </w:tcPr>
          <w:p>
            <w:pPr>
              <w:spacing w:after="0"/>
            </w:pPr>
            <w:r>
              <w:rPr>
                <w:b/>
                <w:color w:val="FFFFFF"/>
                <w:sz w:val="14"/>
              </w:rPr>
              <w:t>Лицензия</w:t>
            </w:r>
          </w:p>
        </w:tc>
      </w:tr>
      <w:tr>
        <w:trPr>
          <w:cantSplit/>
        </w:trPr>
        <w:tc>
          <w:tcPr>
            <w:tcW w:type="dxa" w:w="1440"/>
            <w:vAlign w:val="top"/>
            <w:tcMar>
              <w:top w:w="80" w:type="dxa"/>
              <w:start w:w="90" w:type="dxa"/>
              <w:bottom w:w="80" w:type="dxa"/>
              <w:end w:w="90" w:type="dxa"/>
            </w:tcMar>
          </w:tcPr>
          <w:p>
            <w:pPr>
              <w:spacing w:after="0" w:line="240" w:lineRule="auto"/>
            </w:pPr>
            <w:r>
              <w:rPr>
                <w:sz w:val="14"/>
              </w:rPr>
              <w:t>TimesFM 3</w:t>
            </w:r>
          </w:p>
        </w:tc>
        <w:tc>
          <w:tcPr>
            <w:tcW w:type="dxa" w:w="1440"/>
            <w:vAlign w:val="top"/>
            <w:tcMar>
              <w:top w:w="80" w:type="dxa"/>
              <w:start w:w="90" w:type="dxa"/>
              <w:bottom w:w="80" w:type="dxa"/>
              <w:end w:w="90" w:type="dxa"/>
            </w:tcMar>
          </w:tcPr>
          <w:p>
            <w:pPr>
              <w:spacing w:after="0" w:line="240" w:lineRule="auto"/>
            </w:pPr>
            <w:r>
              <w:rPr>
                <w:sz w:val="14"/>
              </w:rPr>
              <w:t>330M; 2026</w:t>
            </w:r>
          </w:p>
        </w:tc>
        <w:tc>
          <w:tcPr>
            <w:tcW w:type="dxa" w:w="2952"/>
            <w:vAlign w:val="top"/>
            <w:tcMar>
              <w:top w:w="80" w:type="dxa"/>
              <w:start w:w="90" w:type="dxa"/>
              <w:bottom w:w="80" w:type="dxa"/>
              <w:end w:w="90" w:type="dxa"/>
            </w:tcMar>
          </w:tcPr>
          <w:p>
            <w:pPr>
              <w:spacing w:after="0" w:line="240" w:lineRule="auto"/>
            </w:pPr>
            <w:r>
              <w:rPr>
                <w:sz w:val="14"/>
              </w:rPr>
              <w:t>Multivariate; past/future covariates; 9 квантилей; long context; single-pass horizon</w:t>
            </w:r>
          </w:p>
        </w:tc>
        <w:tc>
          <w:tcPr>
            <w:tcW w:type="dxa" w:w="2880"/>
            <w:vAlign w:val="top"/>
            <w:tcMar>
              <w:top w:w="80" w:type="dxa"/>
              <w:start w:w="90" w:type="dxa"/>
              <w:bottom w:w="80" w:type="dxa"/>
              <w:end w:w="90" w:type="dxa"/>
            </w:tcMar>
          </w:tcPr>
          <w:p>
            <w:pPr>
              <w:spacing w:after="0" w:line="240" w:lineRule="auto"/>
            </w:pPr>
            <w:r>
              <w:rPr>
                <w:sz w:val="14"/>
              </w:rPr>
              <w:t>Веса 3.0 ограничены non-commercial/non-production; vendor benchmark claims</w:t>
            </w:r>
          </w:p>
        </w:tc>
        <w:tc>
          <w:tcPr>
            <w:tcW w:type="dxa" w:w="1800"/>
            <w:vAlign w:val="top"/>
            <w:tcMar>
              <w:top w:w="80" w:type="dxa"/>
              <w:start w:w="90" w:type="dxa"/>
              <w:bottom w:w="80" w:type="dxa"/>
              <w:end w:w="90" w:type="dxa"/>
            </w:tcMar>
          </w:tcPr>
          <w:p>
            <w:pPr>
              <w:spacing w:after="0" w:line="240" w:lineRule="auto"/>
            </w:pPr>
            <w:r>
              <w:rPr>
                <w:sz w:val="14"/>
              </w:rPr>
              <w:t>Код Apache-2.0; веса 3.0 restricted</w:t>
            </w:r>
          </w:p>
        </w:tc>
      </w:tr>
      <w:tr>
        <w:trPr>
          <w:cantSplit/>
        </w:trPr>
        <w:tc>
          <w:tcPr>
            <w:tcW w:type="dxa" w:w="1440"/>
            <w:vAlign w:val="top"/>
            <w:tcMar>
              <w:top w:w="80" w:type="dxa"/>
              <w:start w:w="90" w:type="dxa"/>
              <w:bottom w:w="80" w:type="dxa"/>
              <w:end w:w="90" w:type="dxa"/>
            </w:tcMar>
            <w:shd w:fill="F3F6F8"/>
          </w:tcPr>
          <w:p>
            <w:pPr>
              <w:spacing w:after="0" w:line="240" w:lineRule="auto"/>
            </w:pPr>
            <w:r>
              <w:rPr>
                <w:sz w:val="14"/>
              </w:rPr>
              <w:t>Chronos-2</w:t>
            </w:r>
          </w:p>
        </w:tc>
        <w:tc>
          <w:tcPr>
            <w:tcW w:type="dxa" w:w="1440"/>
            <w:vAlign w:val="top"/>
            <w:tcMar>
              <w:top w:w="80" w:type="dxa"/>
              <w:start w:w="90" w:type="dxa"/>
              <w:bottom w:w="80" w:type="dxa"/>
              <w:end w:w="90" w:type="dxa"/>
            </w:tcMar>
            <w:shd w:fill="F3F6F8"/>
          </w:tcPr>
          <w:p>
            <w:pPr>
              <w:spacing w:after="0" w:line="240" w:lineRule="auto"/>
            </w:pPr>
            <w:r>
              <w:rPr>
                <w:sz w:val="14"/>
              </w:rPr>
              <w:t>120M; 2025</w:t>
            </w:r>
          </w:p>
        </w:tc>
        <w:tc>
          <w:tcPr>
            <w:tcW w:type="dxa" w:w="2952"/>
            <w:vAlign w:val="top"/>
            <w:tcMar>
              <w:top w:w="80" w:type="dxa"/>
              <w:start w:w="90" w:type="dxa"/>
              <w:bottom w:w="80" w:type="dxa"/>
              <w:end w:w="90" w:type="dxa"/>
            </w:tcMar>
            <w:shd w:fill="F3F6F8"/>
          </w:tcPr>
          <w:p>
            <w:pPr>
              <w:spacing w:after="0" w:line="240" w:lineRule="auto"/>
            </w:pPr>
            <w:r>
              <w:rPr>
                <w:sz w:val="14"/>
              </w:rPr>
              <w:t>Uni/multivariate; covariates; in-context learning; квантили; компактность</w:t>
            </w:r>
          </w:p>
        </w:tc>
        <w:tc>
          <w:tcPr>
            <w:tcW w:type="dxa" w:w="2880"/>
            <w:vAlign w:val="top"/>
            <w:tcMar>
              <w:top w:w="80" w:type="dxa"/>
              <w:start w:w="90" w:type="dxa"/>
              <w:bottom w:w="80" w:type="dxa"/>
              <w:end w:w="90" w:type="dxa"/>
            </w:tcMar>
            <w:shd w:fill="F3F6F8"/>
          </w:tcPr>
          <w:p>
            <w:pPr>
              <w:spacing w:after="0" w:line="240" w:lineRule="auto"/>
            </w:pPr>
            <w:r>
              <w:rPr>
                <w:sz w:val="14"/>
              </w:rPr>
              <w:t>Качество зависит от связности рядов; heavy multivariate context требует памяти</w:t>
            </w:r>
          </w:p>
        </w:tc>
        <w:tc>
          <w:tcPr>
            <w:tcW w:type="dxa" w:w="1800"/>
            <w:vAlign w:val="top"/>
            <w:tcMar>
              <w:top w:w="80" w:type="dxa"/>
              <w:start w:w="90" w:type="dxa"/>
              <w:bottom w:w="80" w:type="dxa"/>
              <w:end w:w="90" w:type="dxa"/>
            </w:tcMar>
            <w:shd w:fill="F3F6F8"/>
          </w:tcPr>
          <w:p>
            <w:pPr>
              <w:spacing w:after="0" w:line="240" w:lineRule="auto"/>
            </w:pPr>
            <w:r>
              <w:rPr>
                <w:sz w:val="14"/>
              </w:rPr>
              <w:t>Apache-2.0</w:t>
            </w:r>
          </w:p>
        </w:tc>
      </w:tr>
      <w:tr>
        <w:trPr>
          <w:cantSplit/>
        </w:trPr>
        <w:tc>
          <w:tcPr>
            <w:tcW w:type="dxa" w:w="1440"/>
            <w:vAlign w:val="top"/>
            <w:tcMar>
              <w:top w:w="80" w:type="dxa"/>
              <w:start w:w="90" w:type="dxa"/>
              <w:bottom w:w="80" w:type="dxa"/>
              <w:end w:w="90" w:type="dxa"/>
            </w:tcMar>
          </w:tcPr>
          <w:p>
            <w:pPr>
              <w:spacing w:after="0" w:line="240" w:lineRule="auto"/>
            </w:pPr>
            <w:r>
              <w:rPr>
                <w:sz w:val="14"/>
              </w:rPr>
              <w:t>Toto 2.0</w:t>
            </w:r>
          </w:p>
        </w:tc>
        <w:tc>
          <w:tcPr>
            <w:tcW w:type="dxa" w:w="1440"/>
            <w:vAlign w:val="top"/>
            <w:tcMar>
              <w:top w:w="80" w:type="dxa"/>
              <w:start w:w="90" w:type="dxa"/>
              <w:bottom w:w="80" w:type="dxa"/>
              <w:end w:w="90" w:type="dxa"/>
            </w:tcMar>
          </w:tcPr>
          <w:p>
            <w:pPr>
              <w:spacing w:after="0" w:line="240" w:lineRule="auto"/>
            </w:pPr>
            <w:r>
              <w:rPr>
                <w:sz w:val="14"/>
              </w:rPr>
              <w:t>4M–2.5B; 2026</w:t>
            </w:r>
          </w:p>
        </w:tc>
        <w:tc>
          <w:tcPr>
            <w:tcW w:type="dxa" w:w="2952"/>
            <w:vAlign w:val="top"/>
            <w:tcMar>
              <w:top w:w="80" w:type="dxa"/>
              <w:start w:w="90" w:type="dxa"/>
              <w:bottom w:w="80" w:type="dxa"/>
              <w:end w:w="90" w:type="dxa"/>
            </w:tcMar>
          </w:tcPr>
          <w:p>
            <w:pPr>
              <w:spacing w:after="0" w:line="240" w:lineRule="auto"/>
            </w:pPr>
            <w:r>
              <w:rPr>
                <w:sz w:val="14"/>
              </w:rPr>
              <w:t>Сильные CRPS ranks; alternating temporal/variate attention; широкий scaling range</w:t>
            </w:r>
          </w:p>
        </w:tc>
        <w:tc>
          <w:tcPr>
            <w:tcW w:type="dxa" w:w="2880"/>
            <w:vAlign w:val="top"/>
            <w:tcMar>
              <w:top w:w="80" w:type="dxa"/>
              <w:start w:w="90" w:type="dxa"/>
              <w:bottom w:w="80" w:type="dxa"/>
              <w:end w:w="90" w:type="dxa"/>
            </w:tcMar>
          </w:tcPr>
          <w:p>
            <w:pPr>
              <w:spacing w:after="0" w:line="240" w:lineRule="auto"/>
            </w:pPr>
            <w:r>
              <w:rPr>
                <w:sz w:val="14"/>
              </w:rPr>
              <w:t>Fine-tuning и exogenous path в публичном repo ещё догоняют релиз</w:t>
            </w:r>
          </w:p>
        </w:tc>
        <w:tc>
          <w:tcPr>
            <w:tcW w:type="dxa" w:w="1800"/>
            <w:vAlign w:val="top"/>
            <w:tcMar>
              <w:top w:w="80" w:type="dxa"/>
              <w:start w:w="90" w:type="dxa"/>
              <w:bottom w:w="80" w:type="dxa"/>
              <w:end w:w="90" w:type="dxa"/>
            </w:tcMar>
          </w:tcPr>
          <w:p>
            <w:pPr>
              <w:spacing w:after="0" w:line="240" w:lineRule="auto"/>
            </w:pPr>
            <w:r>
              <w:rPr>
                <w:sz w:val="14"/>
              </w:rPr>
              <w:t>Apache-2.0</w:t>
            </w:r>
          </w:p>
        </w:tc>
      </w:tr>
      <w:tr>
        <w:trPr>
          <w:cantSplit/>
        </w:trPr>
        <w:tc>
          <w:tcPr>
            <w:tcW w:type="dxa" w:w="1440"/>
            <w:vAlign w:val="top"/>
            <w:tcMar>
              <w:top w:w="80" w:type="dxa"/>
              <w:start w:w="90" w:type="dxa"/>
              <w:bottom w:w="80" w:type="dxa"/>
              <w:end w:w="90" w:type="dxa"/>
            </w:tcMar>
            <w:shd w:fill="F3F6F8"/>
          </w:tcPr>
          <w:p>
            <w:pPr>
              <w:spacing w:after="0" w:line="240" w:lineRule="auto"/>
            </w:pPr>
            <w:r>
              <w:rPr>
                <w:sz w:val="14"/>
              </w:rPr>
              <w:t>Moirai 2.0</w:t>
            </w:r>
          </w:p>
        </w:tc>
        <w:tc>
          <w:tcPr>
            <w:tcW w:type="dxa" w:w="1440"/>
            <w:vAlign w:val="top"/>
            <w:tcMar>
              <w:top w:w="80" w:type="dxa"/>
              <w:start w:w="90" w:type="dxa"/>
              <w:bottom w:w="80" w:type="dxa"/>
              <w:end w:w="90" w:type="dxa"/>
            </w:tcMar>
            <w:shd w:fill="F3F6F8"/>
          </w:tcPr>
          <w:p>
            <w:pPr>
              <w:spacing w:after="0" w:line="240" w:lineRule="auto"/>
            </w:pPr>
            <w:r>
              <w:rPr>
                <w:sz w:val="14"/>
              </w:rPr>
              <w:t>≈малый TSFM; 2025</w:t>
            </w:r>
          </w:p>
        </w:tc>
        <w:tc>
          <w:tcPr>
            <w:tcW w:type="dxa" w:w="2952"/>
            <w:vAlign w:val="top"/>
            <w:tcMar>
              <w:top w:w="80" w:type="dxa"/>
              <w:start w:w="90" w:type="dxa"/>
              <w:bottom w:w="80" w:type="dxa"/>
              <w:end w:w="90" w:type="dxa"/>
            </w:tcMar>
            <w:shd w:fill="F3F6F8"/>
          </w:tcPr>
          <w:p>
            <w:pPr>
              <w:spacing w:after="0" w:line="240" w:lineRule="auto"/>
            </w:pPr>
            <w:r>
              <w:rPr>
                <w:sz w:val="14"/>
              </w:rPr>
              <w:t>Decoder-only; quantile + multi-token prediction; быстрее и компактнее Moirai 1</w:t>
            </w:r>
          </w:p>
        </w:tc>
        <w:tc>
          <w:tcPr>
            <w:tcW w:type="dxa" w:w="2880"/>
            <w:vAlign w:val="top"/>
            <w:tcMar>
              <w:top w:w="80" w:type="dxa"/>
              <w:start w:w="90" w:type="dxa"/>
              <w:bottom w:w="80" w:type="dxa"/>
              <w:end w:w="90" w:type="dxa"/>
            </w:tcMar>
            <w:shd w:fill="F3F6F8"/>
          </w:tcPr>
          <w:p>
            <w:pPr>
              <w:spacing w:after="0" w:line="240" w:lineRule="auto"/>
            </w:pPr>
            <w:r>
              <w:rPr>
                <w:sz w:val="14"/>
              </w:rPr>
              <w:t>У авторов отмечается деградация на длинных горизонтах</w:t>
            </w:r>
          </w:p>
        </w:tc>
        <w:tc>
          <w:tcPr>
            <w:tcW w:type="dxa" w:w="1800"/>
            <w:vAlign w:val="top"/>
            <w:tcMar>
              <w:top w:w="80" w:type="dxa"/>
              <w:start w:w="90" w:type="dxa"/>
              <w:bottom w:w="80" w:type="dxa"/>
              <w:end w:w="90" w:type="dxa"/>
            </w:tcMar>
            <w:shd w:fill="F3F6F8"/>
          </w:tcPr>
          <w:p>
            <w:pPr>
              <w:spacing w:after="0" w:line="240" w:lineRule="auto"/>
            </w:pPr>
            <w:r>
              <w:rPr>
                <w:sz w:val="14"/>
              </w:rPr>
              <w:t>Apache-2.0</w:t>
            </w:r>
          </w:p>
        </w:tc>
      </w:tr>
      <w:tr>
        <w:trPr>
          <w:cantSplit/>
        </w:trPr>
        <w:tc>
          <w:tcPr>
            <w:tcW w:type="dxa" w:w="1440"/>
            <w:vAlign w:val="top"/>
            <w:tcMar>
              <w:top w:w="80" w:type="dxa"/>
              <w:start w:w="90" w:type="dxa"/>
              <w:bottom w:w="80" w:type="dxa"/>
              <w:end w:w="90" w:type="dxa"/>
            </w:tcMar>
          </w:tcPr>
          <w:p>
            <w:pPr>
              <w:spacing w:after="0" w:line="240" w:lineRule="auto"/>
            </w:pPr>
            <w:r>
              <w:rPr>
                <w:sz w:val="14"/>
              </w:rPr>
              <w:t>Tiny Time Mixers</w:t>
            </w:r>
          </w:p>
        </w:tc>
        <w:tc>
          <w:tcPr>
            <w:tcW w:type="dxa" w:w="1440"/>
            <w:vAlign w:val="top"/>
            <w:tcMar>
              <w:top w:w="80" w:type="dxa"/>
              <w:start w:w="90" w:type="dxa"/>
              <w:bottom w:w="80" w:type="dxa"/>
              <w:end w:w="90" w:type="dxa"/>
            </w:tcMar>
          </w:tcPr>
          <w:p>
            <w:pPr>
              <w:spacing w:after="0" w:line="240" w:lineRule="auto"/>
            </w:pPr>
            <w:r>
              <w:rPr>
                <w:sz w:val="14"/>
              </w:rPr>
              <w:t>≈1M; 2024–2026</w:t>
            </w:r>
          </w:p>
        </w:tc>
        <w:tc>
          <w:tcPr>
            <w:tcW w:type="dxa" w:w="2952"/>
            <w:vAlign w:val="top"/>
            <w:tcMar>
              <w:top w:w="80" w:type="dxa"/>
              <w:start w:w="90" w:type="dxa"/>
              <w:bottom w:w="80" w:type="dxa"/>
              <w:end w:w="90" w:type="dxa"/>
            </w:tcMar>
          </w:tcPr>
          <w:p>
            <w:pPr>
              <w:spacing w:after="0" w:line="240" w:lineRule="auto"/>
            </w:pPr>
            <w:r>
              <w:rPr>
                <w:sz w:val="14"/>
              </w:rPr>
              <w:t>CPU-friendly; few-shot; enterprise-friendly; простой deployment</w:t>
            </w:r>
          </w:p>
        </w:tc>
        <w:tc>
          <w:tcPr>
            <w:tcW w:type="dxa" w:w="2880"/>
            <w:vAlign w:val="top"/>
            <w:tcMar>
              <w:top w:w="80" w:type="dxa"/>
              <w:start w:w="90" w:type="dxa"/>
              <w:bottom w:w="80" w:type="dxa"/>
              <w:end w:w="90" w:type="dxa"/>
            </w:tcMar>
          </w:tcPr>
          <w:p>
            <w:pPr>
              <w:spacing w:after="0" w:line="240" w:lineRule="auto"/>
            </w:pPr>
            <w:r>
              <w:rPr>
                <w:sz w:val="14"/>
              </w:rPr>
              <w:t>Не всегда лидер zero-shot на сложной multivariate задаче</w:t>
            </w:r>
          </w:p>
        </w:tc>
        <w:tc>
          <w:tcPr>
            <w:tcW w:type="dxa" w:w="1800"/>
            <w:vAlign w:val="top"/>
            <w:tcMar>
              <w:top w:w="80" w:type="dxa"/>
              <w:start w:w="90" w:type="dxa"/>
              <w:bottom w:w="80" w:type="dxa"/>
              <w:end w:w="90" w:type="dxa"/>
            </w:tcMar>
          </w:tcPr>
          <w:p>
            <w:pPr>
              <w:spacing w:after="0" w:line="240" w:lineRule="auto"/>
            </w:pPr>
            <w:r>
              <w:rPr>
                <w:sz w:val="14"/>
              </w:rPr>
              <w:t>Apache-2.0</w:t>
            </w:r>
          </w:p>
        </w:tc>
      </w:tr>
      <w:tr>
        <w:trPr>
          <w:cantSplit/>
        </w:trPr>
        <w:tc>
          <w:tcPr>
            <w:tcW w:type="dxa" w:w="1440"/>
            <w:vAlign w:val="top"/>
            <w:tcMar>
              <w:top w:w="80" w:type="dxa"/>
              <w:start w:w="90" w:type="dxa"/>
              <w:bottom w:w="80" w:type="dxa"/>
              <w:end w:w="90" w:type="dxa"/>
            </w:tcMar>
            <w:shd w:fill="F3F6F8"/>
          </w:tcPr>
          <w:p>
            <w:pPr>
              <w:spacing w:after="0" w:line="240" w:lineRule="auto"/>
            </w:pPr>
            <w:r>
              <w:rPr>
                <w:sz w:val="14"/>
              </w:rPr>
              <w:t>Sundial</w:t>
            </w:r>
          </w:p>
        </w:tc>
        <w:tc>
          <w:tcPr>
            <w:tcW w:type="dxa" w:w="1440"/>
            <w:vAlign w:val="top"/>
            <w:tcMar>
              <w:top w:w="80" w:type="dxa"/>
              <w:start w:w="90" w:type="dxa"/>
              <w:bottom w:w="80" w:type="dxa"/>
              <w:end w:w="90" w:type="dxa"/>
            </w:tcMar>
            <w:shd w:fill="F3F6F8"/>
          </w:tcPr>
          <w:p>
            <w:pPr>
              <w:spacing w:after="0" w:line="240" w:lineRule="auto"/>
            </w:pPr>
            <w:r>
              <w:rPr>
                <w:sz w:val="14"/>
              </w:rPr>
              <w:t>128M; 2025</w:t>
            </w:r>
          </w:p>
        </w:tc>
        <w:tc>
          <w:tcPr>
            <w:tcW w:type="dxa" w:w="2952"/>
            <w:vAlign w:val="top"/>
            <w:tcMar>
              <w:top w:w="80" w:type="dxa"/>
              <w:start w:w="90" w:type="dxa"/>
              <w:bottom w:w="80" w:type="dxa"/>
              <w:end w:w="90" w:type="dxa"/>
            </w:tcMar>
            <w:shd w:fill="F3F6F8"/>
          </w:tcPr>
          <w:p>
            <w:pPr>
              <w:spacing w:after="0" w:line="240" w:lineRule="auto"/>
            </w:pPr>
            <w:r>
              <w:rPr>
                <w:sz w:val="14"/>
              </w:rPr>
              <w:t>Генеративные траектории; probabilistic samples; TimeBench 1T points</w:t>
            </w:r>
          </w:p>
        </w:tc>
        <w:tc>
          <w:tcPr>
            <w:tcW w:type="dxa" w:w="2880"/>
            <w:vAlign w:val="top"/>
            <w:tcMar>
              <w:top w:w="80" w:type="dxa"/>
              <w:start w:w="90" w:type="dxa"/>
              <w:bottom w:w="80" w:type="dxa"/>
              <w:end w:w="90" w:type="dxa"/>
            </w:tcMar>
            <w:shd w:fill="F3F6F8"/>
          </w:tcPr>
          <w:p>
            <w:pPr>
              <w:spacing w:after="0" w:line="240" w:lineRule="auto"/>
            </w:pPr>
            <w:r>
              <w:rPr>
                <w:sz w:val="14"/>
              </w:rPr>
              <w:t>Заявленный fine-tuning code ещё не полностью опубликован</w:t>
            </w:r>
          </w:p>
        </w:tc>
        <w:tc>
          <w:tcPr>
            <w:tcW w:type="dxa" w:w="1800"/>
            <w:vAlign w:val="top"/>
            <w:tcMar>
              <w:top w:w="80" w:type="dxa"/>
              <w:start w:w="90" w:type="dxa"/>
              <w:bottom w:w="80" w:type="dxa"/>
              <w:end w:w="90" w:type="dxa"/>
            </w:tcMar>
            <w:shd w:fill="F3F6F8"/>
          </w:tcPr>
          <w:p>
            <w:pPr>
              <w:spacing w:after="0" w:line="240" w:lineRule="auto"/>
            </w:pPr>
            <w:r>
              <w:rPr>
                <w:sz w:val="14"/>
              </w:rPr>
              <w:t>Apache-2.0</w:t>
            </w:r>
          </w:p>
        </w:tc>
      </w:tr>
      <w:tr>
        <w:trPr>
          <w:cantSplit/>
        </w:trPr>
        <w:tc>
          <w:tcPr>
            <w:tcW w:type="dxa" w:w="1440"/>
            <w:vAlign w:val="top"/>
            <w:tcMar>
              <w:top w:w="80" w:type="dxa"/>
              <w:start w:w="90" w:type="dxa"/>
              <w:bottom w:w="80" w:type="dxa"/>
              <w:end w:w="90" w:type="dxa"/>
            </w:tcMar>
          </w:tcPr>
          <w:p>
            <w:pPr>
              <w:spacing w:after="0" w:line="240" w:lineRule="auto"/>
            </w:pPr>
            <w:r>
              <w:rPr>
                <w:sz w:val="14"/>
              </w:rPr>
              <w:t>Time-MoE</w:t>
            </w:r>
          </w:p>
        </w:tc>
        <w:tc>
          <w:tcPr>
            <w:tcW w:type="dxa" w:w="1440"/>
            <w:vAlign w:val="top"/>
            <w:tcMar>
              <w:top w:w="80" w:type="dxa"/>
              <w:start w:w="90" w:type="dxa"/>
              <w:bottom w:w="80" w:type="dxa"/>
              <w:end w:w="90" w:type="dxa"/>
            </w:tcMar>
          </w:tcPr>
          <w:p>
            <w:pPr>
              <w:spacing w:after="0" w:line="240" w:lineRule="auto"/>
            </w:pPr>
            <w:r>
              <w:rPr>
                <w:sz w:val="14"/>
              </w:rPr>
              <w:t>до 2.4B; 2025</w:t>
            </w:r>
          </w:p>
        </w:tc>
        <w:tc>
          <w:tcPr>
            <w:tcW w:type="dxa" w:w="2952"/>
            <w:vAlign w:val="top"/>
            <w:tcMar>
              <w:top w:w="80" w:type="dxa"/>
              <w:start w:w="90" w:type="dxa"/>
              <w:bottom w:w="80" w:type="dxa"/>
              <w:end w:w="90" w:type="dxa"/>
            </w:tcMar>
          </w:tcPr>
          <w:p>
            <w:pPr>
              <w:spacing w:after="0" w:line="240" w:lineRule="auto"/>
            </w:pPr>
            <w:r>
              <w:rPr>
                <w:sz w:val="14"/>
              </w:rPr>
              <w:t>MoE scaling; большой pretraining corpus; сильный generalist</w:t>
            </w:r>
          </w:p>
        </w:tc>
        <w:tc>
          <w:tcPr>
            <w:tcW w:type="dxa" w:w="2880"/>
            <w:vAlign w:val="top"/>
            <w:tcMar>
              <w:top w:w="80" w:type="dxa"/>
              <w:start w:w="90" w:type="dxa"/>
              <w:bottom w:w="80" w:type="dxa"/>
              <w:end w:w="90" w:type="dxa"/>
            </w:tcMar>
          </w:tcPr>
          <w:p>
            <w:pPr>
              <w:spacing w:after="0" w:line="240" w:lineRule="auto"/>
            </w:pPr>
            <w:r>
              <w:rPr>
                <w:sz w:val="14"/>
              </w:rPr>
              <w:t>Covariate support заявлен как будущая работа; дорогой inference</w:t>
            </w:r>
          </w:p>
        </w:tc>
        <w:tc>
          <w:tcPr>
            <w:tcW w:type="dxa" w:w="1800"/>
            <w:vAlign w:val="top"/>
            <w:tcMar>
              <w:top w:w="80" w:type="dxa"/>
              <w:start w:w="90" w:type="dxa"/>
              <w:bottom w:w="80" w:type="dxa"/>
              <w:end w:w="90" w:type="dxa"/>
            </w:tcMar>
          </w:tcPr>
          <w:p>
            <w:pPr>
              <w:spacing w:after="0" w:line="240" w:lineRule="auto"/>
            </w:pPr>
            <w:r>
              <w:rPr>
                <w:sz w:val="14"/>
              </w:rPr>
              <w:t>Apache-2.0</w:t>
            </w:r>
          </w:p>
        </w:tc>
      </w:tr>
      <w:tr>
        <w:trPr>
          <w:cantSplit/>
        </w:trPr>
        <w:tc>
          <w:tcPr>
            <w:tcW w:type="dxa" w:w="1440"/>
            <w:vAlign w:val="top"/>
            <w:tcMar>
              <w:top w:w="80" w:type="dxa"/>
              <w:start w:w="90" w:type="dxa"/>
              <w:bottom w:w="80" w:type="dxa"/>
              <w:end w:w="90" w:type="dxa"/>
            </w:tcMar>
            <w:shd w:fill="F3F6F8"/>
          </w:tcPr>
          <w:p>
            <w:pPr>
              <w:spacing w:after="0" w:line="240" w:lineRule="auto"/>
            </w:pPr>
            <w:r>
              <w:rPr>
                <w:sz w:val="14"/>
              </w:rPr>
              <w:t>Timer-XL</w:t>
            </w:r>
          </w:p>
        </w:tc>
        <w:tc>
          <w:tcPr>
            <w:tcW w:type="dxa" w:w="1440"/>
            <w:vAlign w:val="top"/>
            <w:tcMar>
              <w:top w:w="80" w:type="dxa"/>
              <w:start w:w="90" w:type="dxa"/>
              <w:bottom w:w="80" w:type="dxa"/>
              <w:end w:w="90" w:type="dxa"/>
            </w:tcMar>
            <w:shd w:fill="F3F6F8"/>
          </w:tcPr>
          <w:p>
            <w:pPr>
              <w:spacing w:after="0" w:line="240" w:lineRule="auto"/>
            </w:pPr>
            <w:r>
              <w:rPr>
                <w:sz w:val="14"/>
              </w:rPr>
              <w:t>2024–2025</w:t>
            </w:r>
          </w:p>
        </w:tc>
        <w:tc>
          <w:tcPr>
            <w:tcW w:type="dxa" w:w="2952"/>
            <w:vAlign w:val="top"/>
            <w:tcMar>
              <w:top w:w="80" w:type="dxa"/>
              <w:start w:w="90" w:type="dxa"/>
              <w:bottom w:w="80" w:type="dxa"/>
              <w:end w:w="90" w:type="dxa"/>
            </w:tcMar>
            <w:shd w:fill="F3F6F8"/>
          </w:tcPr>
          <w:p>
            <w:pPr>
              <w:spacing w:after="0" w:line="240" w:lineRule="auto"/>
            </w:pPr>
            <w:r>
              <w:rPr>
                <w:sz w:val="14"/>
              </w:rPr>
              <w:t>Long-context decoder; multivariate next-token prediction</w:t>
            </w:r>
          </w:p>
        </w:tc>
        <w:tc>
          <w:tcPr>
            <w:tcW w:type="dxa" w:w="2880"/>
            <w:vAlign w:val="top"/>
            <w:tcMar>
              <w:top w:w="80" w:type="dxa"/>
              <w:start w:w="90" w:type="dxa"/>
              <w:bottom w:w="80" w:type="dxa"/>
              <w:end w:w="90" w:type="dxa"/>
            </w:tcMar>
            <w:shd w:fill="F3F6F8"/>
          </w:tcPr>
          <w:p>
            <w:pPr>
              <w:spacing w:after="0" w:line="240" w:lineRule="auto"/>
            </w:pPr>
            <w:r>
              <w:rPr>
                <w:sz w:val="14"/>
              </w:rPr>
              <w:t>Нужна тщательная настройка window/tokenization</w:t>
            </w:r>
          </w:p>
        </w:tc>
        <w:tc>
          <w:tcPr>
            <w:tcW w:type="dxa" w:w="1800"/>
            <w:vAlign w:val="top"/>
            <w:tcMar>
              <w:top w:w="80" w:type="dxa"/>
              <w:start w:w="90" w:type="dxa"/>
              <w:bottom w:w="80" w:type="dxa"/>
              <w:end w:w="90" w:type="dxa"/>
            </w:tcMar>
            <w:shd w:fill="F3F6F8"/>
          </w:tcPr>
          <w:p>
            <w:pPr>
              <w:spacing w:after="0" w:line="240" w:lineRule="auto"/>
            </w:pPr>
            <w:r>
              <w:rPr>
                <w:sz w:val="14"/>
              </w:rPr>
              <w:t>Apache-2.0</w:t>
            </w:r>
          </w:p>
        </w:tc>
      </w:tr>
      <w:tr>
        <w:trPr>
          <w:cantSplit/>
        </w:trPr>
        <w:tc>
          <w:tcPr>
            <w:tcW w:type="dxa" w:w="1440"/>
            <w:vAlign w:val="top"/>
            <w:tcMar>
              <w:top w:w="80" w:type="dxa"/>
              <w:start w:w="90" w:type="dxa"/>
              <w:bottom w:w="80" w:type="dxa"/>
              <w:end w:w="90" w:type="dxa"/>
            </w:tcMar>
          </w:tcPr>
          <w:p>
            <w:pPr>
              <w:spacing w:after="0" w:line="240" w:lineRule="auto"/>
            </w:pPr>
            <w:r>
              <w:rPr>
                <w:sz w:val="14"/>
              </w:rPr>
              <w:t>MOMENT</w:t>
            </w:r>
          </w:p>
        </w:tc>
        <w:tc>
          <w:tcPr>
            <w:tcW w:type="dxa" w:w="1440"/>
            <w:vAlign w:val="top"/>
            <w:tcMar>
              <w:top w:w="80" w:type="dxa"/>
              <w:start w:w="90" w:type="dxa"/>
              <w:bottom w:w="80" w:type="dxa"/>
              <w:end w:w="90" w:type="dxa"/>
            </w:tcMar>
          </w:tcPr>
          <w:p>
            <w:pPr>
              <w:spacing w:after="0" w:line="240" w:lineRule="auto"/>
            </w:pPr>
            <w:r>
              <w:rPr>
                <w:sz w:val="14"/>
              </w:rPr>
              <w:t>2024</w:t>
            </w:r>
          </w:p>
        </w:tc>
        <w:tc>
          <w:tcPr>
            <w:tcW w:type="dxa" w:w="2952"/>
            <w:vAlign w:val="top"/>
            <w:tcMar>
              <w:top w:w="80" w:type="dxa"/>
              <w:start w:w="90" w:type="dxa"/>
              <w:bottom w:w="80" w:type="dxa"/>
              <w:end w:w="90" w:type="dxa"/>
            </w:tcMar>
          </w:tcPr>
          <w:p>
            <w:pPr>
              <w:spacing w:after="0" w:line="240" w:lineRule="auto"/>
            </w:pPr>
            <w:r>
              <w:rPr>
                <w:sz w:val="14"/>
              </w:rPr>
              <w:t>Одна модель для forecasting, anomaly, imputation, classification, embeddings</w:t>
            </w:r>
          </w:p>
        </w:tc>
        <w:tc>
          <w:tcPr>
            <w:tcW w:type="dxa" w:w="2880"/>
            <w:vAlign w:val="top"/>
            <w:tcMar>
              <w:top w:w="80" w:type="dxa"/>
              <w:start w:w="90" w:type="dxa"/>
              <w:bottom w:w="80" w:type="dxa"/>
              <w:end w:w="90" w:type="dxa"/>
            </w:tcMar>
          </w:tcPr>
          <w:p>
            <w:pPr>
              <w:spacing w:after="0" w:line="240" w:lineRule="auto"/>
            </w:pPr>
            <w:r>
              <w:rPr>
                <w:sz w:val="14"/>
              </w:rPr>
              <w:t>Универсальное representation learning, но не главный лидер прогноза 2026</w:t>
            </w:r>
          </w:p>
        </w:tc>
        <w:tc>
          <w:tcPr>
            <w:tcW w:type="dxa" w:w="1800"/>
            <w:vAlign w:val="top"/>
            <w:tcMar>
              <w:top w:w="80" w:type="dxa"/>
              <w:start w:w="90" w:type="dxa"/>
              <w:bottom w:w="80" w:type="dxa"/>
              <w:end w:w="90" w:type="dxa"/>
            </w:tcMar>
          </w:tcPr>
          <w:p>
            <w:pPr>
              <w:spacing w:after="0" w:line="240" w:lineRule="auto"/>
            </w:pPr>
            <w:r>
              <w:rPr>
                <w:sz w:val="14"/>
              </w:rPr>
              <w:t>MIT</w:t>
            </w:r>
          </w:p>
        </w:tc>
      </w:tr>
    </w:tbl>
    <w:p>
      <w:pPr>
        <w:spacing w:after="0"/>
      </w:pPr>
    </w:p>
    <w:p>
      <w:pPr>
        <w:widowControl/>
      </w:pPr>
      <w:r>
        <w:t>Google представила TimesFM 3 31 августа 2026 года: 330 млн параметров, более триллиона точек в pretraining, нативный multivariate режим, прошлые и известные будущие ковариаты, а также девять квантилей p10–p90. Компания сообщает первое место среди pretrained foundation models на GIFT-Eval, FEV-Bench и TIME; это сильный, но всё же vendor-reported результат.</w:t>
      </w:r>
      <w:r>
        <w:footnoteReference w:id="2"/>
      </w:r>
    </w:p>
    <w:p>
      <w:pPr>
        <w:widowControl/>
      </w:pPr>
      <w:r>
        <w:t>Практическая оговорка критична: исходный код TimesFM остаётся Apache-2.0, но текущие веса TimesFM 3 распространяются по лицензии, запрещающей коммерческое и production-использование. Если нужен permissive production path, TimesFM 2.5 остаётся Apache-2.0 и поддерживает контекст 16k, квантильную голову, covariates и LoRA-пример.</w:t>
      </w:r>
      <w:r>
        <w:footnoteReference w:id="3"/>
      </w:r>
    </w:p>
    <w:p>
      <w:pPr>
        <w:widowControl/>
      </w:pPr>
      <w:r>
        <w:t>Amazon Chronos-2 — 120M-параметрический open-weight TSFM для univariate, multivariate и covariate-informed zero-shot forecasting. Group attention объединяет зависимые ряды; in-context examples позволяют адаптацию без обновления весов. Репозиторий и веса доступны под Apache-2.0, что делает модель одной из самых практичных для коммерческого пилота.</w:t>
      </w:r>
      <w:r>
        <w:footnoteReference w:id="5"/>
      </w:r>
      <w:r>
        <w:footnoteReference w:id="4"/>
      </w:r>
    </w:p>
    <w:p>
      <w:pPr>
        <w:widowControl/>
      </w:pPr>
      <w:r>
        <w:t>Datadog Toto 2.0 масштабируется от 4M до 2.5B параметров и использует чередующееся temporal/variate attention. В опубликованном сравнении GIFT-Eval модели 313M, 1B и 2.5B заняли более высокие средние CRPS-ранги, чем Chronos-2, однако это сравнение следует реплицировать на фиксированной версии benchmark и в собственном latency/cost envelope.</w:t>
      </w:r>
      <w:r>
        <w:footnoteReference w:id="8"/>
      </w:r>
      <w:r>
        <w:footnoteReference w:id="7"/>
      </w:r>
      <w:r>
        <w:footnoteReference w:id="6"/>
      </w:r>
    </w:p>
    <w:p>
      <w:pPr>
        <w:widowControl/>
      </w:pPr>
      <w:r>
        <w:t>Moirai 2.0 делает акцент на decoder-only architecture, quantile forecasting и multi-token prediction; авторы сообщают более высокую точность при примерно 30-кратном уменьшении размера и двукратном ускорении относительно Moirai 1.0 Large. Код Uni2TS опубликован под Apache-2.0.</w:t>
      </w:r>
      <w:r>
        <w:footnoteReference w:id="10"/>
      </w:r>
      <w:r>
        <w:footnoteReference w:id="9"/>
      </w:r>
    </w:p>
    <w:p>
      <w:pPr>
        <w:pStyle w:val="Heading2"/>
      </w:pPr>
      <w:r>
        <w:t>2.1. Почему Transformer — не автоматический победитель</w:t>
      </w:r>
    </w:p>
    <w:p>
      <w:pPr>
        <w:widowControl/>
      </w:pPr>
      <w:r>
        <w:t>На коротких данных, при стабильной сезонности и ограниченной вычислительной мощности ETS, AutoARIMA, Theta, linear/MLP mixers или gradient boosting часто дают сопоставимое качество быстрее и дешевле. TSMixer показал, что простое смешивание по времени и признакам способно конкурировать с patch-based Transformers при меньшем runtime и памяти; такие заявления зависят от набора данных, но архитектурный урок остаётся актуальным.</w:t>
      </w:r>
      <w:r>
        <w:footnoteReference w:id="11"/>
      </w:r>
    </w:p>
    <w:p>
      <w:pPr>
        <w:widowControl/>
      </w:pPr>
      <w:r>
        <w:t>Foundation-модель особенно полезна, когда мало локальной истории, много родственных рядов, есть сложные cross-series patterns или нужен быстрый zero-shot baseline. Task-specific модель чаще выигрывает, если доступно много чистых данных конкретного домена, стабильные ковариаты и полноценный цикл настройки. Свежие OOD-исследования также показывают случаи, где BiLSTM превосходит zero-shot TSFM, а LoRA возвращает преимущество — это контрпример к идее универсального доминирования.</w:t>
      </w:r>
      <w:r>
        <w:footnoteReference w:id="12"/>
      </w:r>
    </w:p>
    <w:p>
      <w:pPr>
        <w:pStyle w:val="Heading1"/>
      </w:pPr>
      <w:r>
        <w:t>3. Big Tech и open-source релизы</w:t>
      </w:r>
    </w:p>
    <w:tbl>
      <w:tblPr>
        <w:tblStyle w:val="TableGrid"/>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1728"/>
            <w:shd w:fill="16324F"/>
            <w:vAlign w:val="center"/>
            <w:tcMar>
              <w:top w:w="80" w:type="dxa"/>
              <w:start w:w="90" w:type="dxa"/>
              <w:bottom w:w="80" w:type="dxa"/>
              <w:end w:w="90" w:type="dxa"/>
            </w:tcMar>
          </w:tcPr>
          <w:p>
            <w:pPr>
              <w:spacing w:after="0"/>
            </w:pPr>
            <w:r>
              <w:rPr>
                <w:b/>
                <w:color w:val="FFFFFF"/>
                <w:sz w:val="15"/>
              </w:rPr>
              <w:t>Организация</w:t>
            </w:r>
          </w:p>
        </w:tc>
        <w:tc>
          <w:tcPr>
            <w:tcW w:type="dxa" w:w="2016"/>
            <w:shd w:fill="16324F"/>
            <w:vAlign w:val="center"/>
            <w:tcMar>
              <w:top w:w="80" w:type="dxa"/>
              <w:start w:w="90" w:type="dxa"/>
              <w:bottom w:w="80" w:type="dxa"/>
              <w:end w:w="90" w:type="dxa"/>
            </w:tcMar>
          </w:tcPr>
          <w:p>
            <w:pPr>
              <w:spacing w:after="0"/>
            </w:pPr>
            <w:r>
              <w:rPr>
                <w:b/>
                <w:color w:val="FFFFFF"/>
                <w:sz w:val="15"/>
              </w:rPr>
              <w:t>Релиз / актив</w:t>
            </w:r>
          </w:p>
        </w:tc>
        <w:tc>
          <w:tcPr>
            <w:tcW w:type="dxa" w:w="3240"/>
            <w:shd w:fill="16324F"/>
            <w:vAlign w:val="center"/>
            <w:tcMar>
              <w:top w:w="80" w:type="dxa"/>
              <w:start w:w="90" w:type="dxa"/>
              <w:bottom w:w="80" w:type="dxa"/>
              <w:end w:w="90" w:type="dxa"/>
            </w:tcMar>
          </w:tcPr>
          <w:p>
            <w:pPr>
              <w:spacing w:after="0"/>
            </w:pPr>
            <w:r>
              <w:rPr>
                <w:b/>
                <w:color w:val="FFFFFF"/>
                <w:sz w:val="15"/>
              </w:rPr>
              <w:t>Что изменилось</w:t>
            </w:r>
          </w:p>
        </w:tc>
        <w:tc>
          <w:tcPr>
            <w:tcW w:type="dxa" w:w="3456"/>
            <w:shd w:fill="16324F"/>
            <w:vAlign w:val="center"/>
            <w:tcMar>
              <w:top w:w="80" w:type="dxa"/>
              <w:start w:w="90" w:type="dxa"/>
              <w:bottom w:w="80" w:type="dxa"/>
              <w:end w:w="90" w:type="dxa"/>
            </w:tcMar>
          </w:tcPr>
          <w:p>
            <w:pPr>
              <w:spacing w:after="0"/>
            </w:pPr>
            <w:r>
              <w:rPr>
                <w:b/>
                <w:color w:val="FFFFFF"/>
                <w:sz w:val="15"/>
              </w:rPr>
              <w:t>Production-оценка</w:t>
            </w:r>
          </w:p>
        </w:tc>
      </w:tr>
      <w:tr>
        <w:trPr>
          <w:cantSplit/>
        </w:trPr>
        <w:tc>
          <w:tcPr>
            <w:tcW w:type="dxa" w:w="1728"/>
            <w:vAlign w:val="top"/>
            <w:tcMar>
              <w:top w:w="80" w:type="dxa"/>
              <w:start w:w="90" w:type="dxa"/>
              <w:bottom w:w="80" w:type="dxa"/>
              <w:end w:w="90" w:type="dxa"/>
            </w:tcMar>
          </w:tcPr>
          <w:p>
            <w:pPr>
              <w:spacing w:after="0" w:line="240" w:lineRule="auto"/>
            </w:pPr>
            <w:r>
              <w:rPr>
                <w:sz w:val="15"/>
              </w:rPr>
              <w:t>Google Research</w:t>
            </w:r>
          </w:p>
        </w:tc>
        <w:tc>
          <w:tcPr>
            <w:tcW w:type="dxa" w:w="2016"/>
            <w:vAlign w:val="top"/>
            <w:tcMar>
              <w:top w:w="80" w:type="dxa"/>
              <w:start w:w="90" w:type="dxa"/>
              <w:bottom w:w="80" w:type="dxa"/>
              <w:end w:w="90" w:type="dxa"/>
            </w:tcMar>
          </w:tcPr>
          <w:p>
            <w:pPr>
              <w:spacing w:after="0" w:line="240" w:lineRule="auto"/>
            </w:pPr>
            <w:r>
              <w:rPr>
                <w:sz w:val="15"/>
              </w:rPr>
              <w:t>TimesFM 3; TimesFM 2.5</w:t>
            </w:r>
          </w:p>
        </w:tc>
        <w:tc>
          <w:tcPr>
            <w:tcW w:type="dxa" w:w="3240"/>
            <w:vAlign w:val="top"/>
            <w:tcMar>
              <w:top w:w="80" w:type="dxa"/>
              <w:start w:w="90" w:type="dxa"/>
              <w:bottom w:w="80" w:type="dxa"/>
              <w:end w:w="90" w:type="dxa"/>
            </w:tcMar>
          </w:tcPr>
          <w:p>
            <w:pPr>
              <w:spacing w:after="0" w:line="240" w:lineRule="auto"/>
            </w:pPr>
            <w:r>
              <w:rPr>
                <w:sz w:val="15"/>
              </w:rPr>
              <w:t>Native multivariate, covariates, quantiles; 2.5 добавила long context и LoRA</w:t>
            </w:r>
          </w:p>
        </w:tc>
        <w:tc>
          <w:tcPr>
            <w:tcW w:type="dxa" w:w="3456"/>
            <w:vAlign w:val="top"/>
            <w:tcMar>
              <w:top w:w="80" w:type="dxa"/>
              <w:start w:w="90" w:type="dxa"/>
              <w:bottom w:w="80" w:type="dxa"/>
              <w:end w:w="90" w:type="dxa"/>
            </w:tcMar>
          </w:tcPr>
          <w:p>
            <w:pPr>
              <w:spacing w:after="0" w:line="240" w:lineRule="auto"/>
            </w:pPr>
            <w:r>
              <w:rPr>
                <w:sz w:val="15"/>
              </w:rPr>
              <w:t>3.0 — технически сильная, но licensing gate; 2.5 проще юридически</w:t>
            </w:r>
          </w:p>
        </w:tc>
      </w:tr>
      <w:tr>
        <w:trPr>
          <w:cantSplit/>
        </w:trPr>
        <w:tc>
          <w:tcPr>
            <w:tcW w:type="dxa" w:w="1728"/>
            <w:vAlign w:val="top"/>
            <w:tcMar>
              <w:top w:w="80" w:type="dxa"/>
              <w:start w:w="90" w:type="dxa"/>
              <w:bottom w:w="80" w:type="dxa"/>
              <w:end w:w="90" w:type="dxa"/>
            </w:tcMar>
            <w:shd w:fill="F3F6F8"/>
          </w:tcPr>
          <w:p>
            <w:pPr>
              <w:spacing w:after="0" w:line="240" w:lineRule="auto"/>
            </w:pPr>
            <w:r>
              <w:rPr>
                <w:sz w:val="15"/>
              </w:rPr>
              <w:t>Amazon Science</w:t>
            </w:r>
          </w:p>
        </w:tc>
        <w:tc>
          <w:tcPr>
            <w:tcW w:type="dxa" w:w="2016"/>
            <w:vAlign w:val="top"/>
            <w:tcMar>
              <w:top w:w="80" w:type="dxa"/>
              <w:start w:w="90" w:type="dxa"/>
              <w:bottom w:w="80" w:type="dxa"/>
              <w:end w:w="90" w:type="dxa"/>
            </w:tcMar>
            <w:shd w:fill="F3F6F8"/>
          </w:tcPr>
          <w:p>
            <w:pPr>
              <w:spacing w:after="0" w:line="240" w:lineRule="auto"/>
            </w:pPr>
            <w:r>
              <w:rPr>
                <w:sz w:val="15"/>
              </w:rPr>
              <w:t>Chronos-2; Chronos-Bolt</w:t>
            </w:r>
          </w:p>
        </w:tc>
        <w:tc>
          <w:tcPr>
            <w:tcW w:type="dxa" w:w="3240"/>
            <w:vAlign w:val="top"/>
            <w:tcMar>
              <w:top w:w="80" w:type="dxa"/>
              <w:start w:w="90" w:type="dxa"/>
              <w:bottom w:w="80" w:type="dxa"/>
              <w:end w:w="90" w:type="dxa"/>
            </w:tcMar>
            <w:shd w:fill="F3F6F8"/>
          </w:tcPr>
          <w:p>
            <w:pPr>
              <w:spacing w:after="0" w:line="240" w:lineRule="auto"/>
            </w:pPr>
            <w:r>
              <w:rPr>
                <w:sz w:val="15"/>
              </w:rPr>
              <w:t>Multivariate + covariates; Bolt ускоряет inference и снижает память</w:t>
            </w:r>
          </w:p>
        </w:tc>
        <w:tc>
          <w:tcPr>
            <w:tcW w:type="dxa" w:w="3456"/>
            <w:vAlign w:val="top"/>
            <w:tcMar>
              <w:top w:w="80" w:type="dxa"/>
              <w:start w:w="90" w:type="dxa"/>
              <w:bottom w:w="80" w:type="dxa"/>
              <w:end w:w="90" w:type="dxa"/>
            </w:tcMar>
            <w:shd w:fill="F3F6F8"/>
          </w:tcPr>
          <w:p>
            <w:pPr>
              <w:spacing w:after="0" w:line="240" w:lineRule="auto"/>
            </w:pPr>
            <w:r>
              <w:rPr>
                <w:sz w:val="15"/>
              </w:rPr>
              <w:t>Один из лучших permissive candidates</w:t>
            </w:r>
          </w:p>
        </w:tc>
      </w:tr>
      <w:tr>
        <w:trPr>
          <w:cantSplit/>
        </w:trPr>
        <w:tc>
          <w:tcPr>
            <w:tcW w:type="dxa" w:w="1728"/>
            <w:vAlign w:val="top"/>
            <w:tcMar>
              <w:top w:w="80" w:type="dxa"/>
              <w:start w:w="90" w:type="dxa"/>
              <w:bottom w:w="80" w:type="dxa"/>
              <w:end w:w="90" w:type="dxa"/>
            </w:tcMar>
          </w:tcPr>
          <w:p>
            <w:pPr>
              <w:spacing w:after="0" w:line="240" w:lineRule="auto"/>
            </w:pPr>
            <w:r>
              <w:rPr>
                <w:sz w:val="15"/>
              </w:rPr>
              <w:t>Datadog</w:t>
            </w:r>
          </w:p>
        </w:tc>
        <w:tc>
          <w:tcPr>
            <w:tcW w:type="dxa" w:w="2016"/>
            <w:vAlign w:val="top"/>
            <w:tcMar>
              <w:top w:w="80" w:type="dxa"/>
              <w:start w:w="90" w:type="dxa"/>
              <w:bottom w:w="80" w:type="dxa"/>
              <w:end w:w="90" w:type="dxa"/>
            </w:tcMar>
          </w:tcPr>
          <w:p>
            <w:pPr>
              <w:spacing w:after="0" w:line="240" w:lineRule="auto"/>
            </w:pPr>
            <w:r>
              <w:rPr>
                <w:sz w:val="15"/>
              </w:rPr>
              <w:t>Toto 2.0</w:t>
            </w:r>
          </w:p>
        </w:tc>
        <w:tc>
          <w:tcPr>
            <w:tcW w:type="dxa" w:w="3240"/>
            <w:vAlign w:val="top"/>
            <w:tcMar>
              <w:top w:w="80" w:type="dxa"/>
              <w:start w:w="90" w:type="dxa"/>
              <w:bottom w:w="80" w:type="dxa"/>
              <w:end w:w="90" w:type="dxa"/>
            </w:tcMar>
          </w:tcPr>
          <w:p>
            <w:pPr>
              <w:spacing w:after="0" w:line="240" w:lineRule="auto"/>
            </w:pPr>
            <w:r>
              <w:rPr>
                <w:sz w:val="15"/>
              </w:rPr>
              <w:t>Широкое scaling family, temporal/variate attention, probabilistic output</w:t>
            </w:r>
          </w:p>
        </w:tc>
        <w:tc>
          <w:tcPr>
            <w:tcW w:type="dxa" w:w="3456"/>
            <w:vAlign w:val="top"/>
            <w:tcMar>
              <w:top w:w="80" w:type="dxa"/>
              <w:start w:w="90" w:type="dxa"/>
              <w:bottom w:w="80" w:type="dxa"/>
              <w:end w:w="90" w:type="dxa"/>
            </w:tcMar>
          </w:tcPr>
          <w:p>
            <w:pPr>
              <w:spacing w:after="0" w:line="240" w:lineRule="auto"/>
            </w:pPr>
            <w:r>
              <w:rPr>
                <w:sz w:val="15"/>
              </w:rPr>
              <w:t>Сильный open candidate; проверять текущую feature completeness</w:t>
            </w:r>
          </w:p>
        </w:tc>
      </w:tr>
      <w:tr>
        <w:trPr>
          <w:cantSplit/>
        </w:trPr>
        <w:tc>
          <w:tcPr>
            <w:tcW w:type="dxa" w:w="1728"/>
            <w:vAlign w:val="top"/>
            <w:tcMar>
              <w:top w:w="80" w:type="dxa"/>
              <w:start w:w="90" w:type="dxa"/>
              <w:bottom w:w="80" w:type="dxa"/>
              <w:end w:w="90" w:type="dxa"/>
            </w:tcMar>
            <w:shd w:fill="F3F6F8"/>
          </w:tcPr>
          <w:p>
            <w:pPr>
              <w:spacing w:after="0" w:line="240" w:lineRule="auto"/>
            </w:pPr>
            <w:r>
              <w:rPr>
                <w:sz w:val="15"/>
              </w:rPr>
              <w:t>Salesforce</w:t>
            </w:r>
          </w:p>
        </w:tc>
        <w:tc>
          <w:tcPr>
            <w:tcW w:type="dxa" w:w="2016"/>
            <w:vAlign w:val="top"/>
            <w:tcMar>
              <w:top w:w="80" w:type="dxa"/>
              <w:start w:w="90" w:type="dxa"/>
              <w:bottom w:w="80" w:type="dxa"/>
              <w:end w:w="90" w:type="dxa"/>
            </w:tcMar>
            <w:shd w:fill="F3F6F8"/>
          </w:tcPr>
          <w:p>
            <w:pPr>
              <w:spacing w:after="0" w:line="240" w:lineRule="auto"/>
            </w:pPr>
            <w:r>
              <w:rPr>
                <w:sz w:val="15"/>
              </w:rPr>
              <w:t>Moirai 2.0 / Uni2TS</w:t>
            </w:r>
          </w:p>
        </w:tc>
        <w:tc>
          <w:tcPr>
            <w:tcW w:type="dxa" w:w="3240"/>
            <w:vAlign w:val="top"/>
            <w:tcMar>
              <w:top w:w="80" w:type="dxa"/>
              <w:start w:w="90" w:type="dxa"/>
              <w:bottom w:w="80" w:type="dxa"/>
              <w:end w:w="90" w:type="dxa"/>
            </w:tcMar>
            <w:shd w:fill="F3F6F8"/>
          </w:tcPr>
          <w:p>
            <w:pPr>
              <w:spacing w:after="0" w:line="240" w:lineRule="auto"/>
            </w:pPr>
            <w:r>
              <w:rPr>
                <w:sz w:val="15"/>
              </w:rPr>
              <w:t>Компактный decoder-only TSFM, multi-token prediction</w:t>
            </w:r>
          </w:p>
        </w:tc>
        <w:tc>
          <w:tcPr>
            <w:tcW w:type="dxa" w:w="3456"/>
            <w:vAlign w:val="top"/>
            <w:tcMar>
              <w:top w:w="80" w:type="dxa"/>
              <w:start w:w="90" w:type="dxa"/>
              <w:bottom w:w="80" w:type="dxa"/>
              <w:end w:w="90" w:type="dxa"/>
            </w:tcMar>
            <w:shd w:fill="F3F6F8"/>
          </w:tcPr>
          <w:p>
            <w:pPr>
              <w:spacing w:after="0" w:line="240" w:lineRule="auto"/>
            </w:pPr>
            <w:r>
              <w:rPr>
                <w:sz w:val="15"/>
              </w:rPr>
              <w:t>Хороший permissive benchmark candidate</w:t>
            </w:r>
          </w:p>
        </w:tc>
      </w:tr>
      <w:tr>
        <w:trPr>
          <w:cantSplit/>
        </w:trPr>
        <w:tc>
          <w:tcPr>
            <w:tcW w:type="dxa" w:w="1728"/>
            <w:vAlign w:val="top"/>
            <w:tcMar>
              <w:top w:w="80" w:type="dxa"/>
              <w:start w:w="90" w:type="dxa"/>
              <w:bottom w:w="80" w:type="dxa"/>
              <w:end w:w="90" w:type="dxa"/>
            </w:tcMar>
          </w:tcPr>
          <w:p>
            <w:pPr>
              <w:spacing w:after="0" w:line="240" w:lineRule="auto"/>
            </w:pPr>
            <w:r>
              <w:rPr>
                <w:sz w:val="15"/>
              </w:rPr>
              <w:t>IBM Granite</w:t>
            </w:r>
          </w:p>
        </w:tc>
        <w:tc>
          <w:tcPr>
            <w:tcW w:type="dxa" w:w="2016"/>
            <w:vAlign w:val="top"/>
            <w:tcMar>
              <w:top w:w="80" w:type="dxa"/>
              <w:start w:w="90" w:type="dxa"/>
              <w:bottom w:w="80" w:type="dxa"/>
              <w:end w:w="90" w:type="dxa"/>
            </w:tcMar>
          </w:tcPr>
          <w:p>
            <w:pPr>
              <w:spacing w:after="0" w:line="240" w:lineRule="auto"/>
            </w:pPr>
            <w:r>
              <w:rPr>
                <w:sz w:val="15"/>
              </w:rPr>
              <w:t>TTM / Granite TSFM</w:t>
            </w:r>
          </w:p>
        </w:tc>
        <w:tc>
          <w:tcPr>
            <w:tcW w:type="dxa" w:w="3240"/>
            <w:vAlign w:val="top"/>
            <w:tcMar>
              <w:top w:w="80" w:type="dxa"/>
              <w:start w:w="90" w:type="dxa"/>
              <w:bottom w:w="80" w:type="dxa"/>
              <w:end w:w="90" w:type="dxa"/>
            </w:tcMar>
          </w:tcPr>
          <w:p>
            <w:pPr>
              <w:spacing w:after="0" w:line="240" w:lineRule="auto"/>
            </w:pPr>
            <w:r>
              <w:rPr>
                <w:sz w:val="15"/>
              </w:rPr>
              <w:t>Очень малые модели и enterprise tooling</w:t>
            </w:r>
          </w:p>
        </w:tc>
        <w:tc>
          <w:tcPr>
            <w:tcW w:type="dxa" w:w="3456"/>
            <w:vAlign w:val="top"/>
            <w:tcMar>
              <w:top w:w="80" w:type="dxa"/>
              <w:start w:w="90" w:type="dxa"/>
              <w:bottom w:w="80" w:type="dxa"/>
              <w:end w:w="90" w:type="dxa"/>
            </w:tcMar>
          </w:tcPr>
          <w:p>
            <w:pPr>
              <w:spacing w:after="0" w:line="240" w:lineRule="auto"/>
            </w:pPr>
            <w:r>
              <w:rPr>
                <w:sz w:val="15"/>
              </w:rPr>
              <w:t>Лучший кандидат для CPU/edge и controlled fine-tune</w:t>
            </w:r>
          </w:p>
        </w:tc>
      </w:tr>
      <w:tr>
        <w:trPr>
          <w:cantSplit/>
        </w:trPr>
        <w:tc>
          <w:tcPr>
            <w:tcW w:type="dxa" w:w="1728"/>
            <w:vAlign w:val="top"/>
            <w:tcMar>
              <w:top w:w="80" w:type="dxa"/>
              <w:start w:w="90" w:type="dxa"/>
              <w:bottom w:w="80" w:type="dxa"/>
              <w:end w:w="90" w:type="dxa"/>
            </w:tcMar>
            <w:shd w:fill="F3F6F8"/>
          </w:tcPr>
          <w:p>
            <w:pPr>
              <w:spacing w:after="0" w:line="240" w:lineRule="auto"/>
            </w:pPr>
            <w:r>
              <w:rPr>
                <w:sz w:val="15"/>
              </w:rPr>
              <w:t>Sakana AI</w:t>
            </w:r>
          </w:p>
        </w:tc>
        <w:tc>
          <w:tcPr>
            <w:tcW w:type="dxa" w:w="2016"/>
            <w:vAlign w:val="top"/>
            <w:tcMar>
              <w:top w:w="80" w:type="dxa"/>
              <w:start w:w="90" w:type="dxa"/>
              <w:bottom w:w="80" w:type="dxa"/>
              <w:end w:w="90" w:type="dxa"/>
            </w:tcMar>
            <w:shd w:fill="F3F6F8"/>
          </w:tcPr>
          <w:p>
            <w:pPr>
              <w:spacing w:after="0" w:line="240" w:lineRule="auto"/>
            </w:pPr>
            <w:r>
              <w:rPr>
                <w:sz w:val="15"/>
              </w:rPr>
              <w:t>AI Scientist v2</w:t>
            </w:r>
          </w:p>
        </w:tc>
        <w:tc>
          <w:tcPr>
            <w:tcW w:type="dxa" w:w="3240"/>
            <w:vAlign w:val="top"/>
            <w:tcMar>
              <w:top w:w="80" w:type="dxa"/>
              <w:start w:w="90" w:type="dxa"/>
              <w:bottom w:w="80" w:type="dxa"/>
              <w:end w:w="90" w:type="dxa"/>
            </w:tcMar>
            <w:shd w:fill="F3F6F8"/>
          </w:tcPr>
          <w:p>
            <w:pPr>
              <w:spacing w:after="0" w:line="240" w:lineRule="auto"/>
            </w:pPr>
            <w:r>
              <w:rPr>
                <w:sz w:val="15"/>
              </w:rPr>
              <w:t>Автономные гипотезы, эксперименты, анализ и paper generation</w:t>
            </w:r>
          </w:p>
        </w:tc>
        <w:tc>
          <w:tcPr>
            <w:tcW w:type="dxa" w:w="3456"/>
            <w:vAlign w:val="top"/>
            <w:tcMar>
              <w:top w:w="80" w:type="dxa"/>
              <w:start w:w="90" w:type="dxa"/>
              <w:bottom w:w="80" w:type="dxa"/>
              <w:end w:w="90" w:type="dxa"/>
            </w:tcMar>
            <w:shd w:fill="F3F6F8"/>
          </w:tcPr>
          <w:p>
            <w:pPr>
              <w:spacing w:after="0" w:line="240" w:lineRule="auto"/>
            </w:pPr>
            <w:r>
              <w:rPr>
                <w:sz w:val="15"/>
              </w:rPr>
              <w:t>Research automation, но не TS forecaster; нужен sandbox</w:t>
            </w:r>
          </w:p>
        </w:tc>
      </w:tr>
      <w:tr>
        <w:trPr>
          <w:cantSplit/>
        </w:trPr>
        <w:tc>
          <w:tcPr>
            <w:tcW w:type="dxa" w:w="1728"/>
            <w:vAlign w:val="top"/>
            <w:tcMar>
              <w:top w:w="80" w:type="dxa"/>
              <w:start w:w="90" w:type="dxa"/>
              <w:bottom w:w="80" w:type="dxa"/>
              <w:end w:w="90" w:type="dxa"/>
            </w:tcMar>
          </w:tcPr>
          <w:p>
            <w:pPr>
              <w:spacing w:after="0" w:line="240" w:lineRule="auto"/>
            </w:pPr>
            <w:r>
              <w:rPr>
                <w:sz w:val="15"/>
              </w:rPr>
              <w:t>Google DeepMind</w:t>
            </w:r>
          </w:p>
        </w:tc>
        <w:tc>
          <w:tcPr>
            <w:tcW w:type="dxa" w:w="2016"/>
            <w:vAlign w:val="top"/>
            <w:tcMar>
              <w:top w:w="80" w:type="dxa"/>
              <w:start w:w="90" w:type="dxa"/>
              <w:bottom w:w="80" w:type="dxa"/>
              <w:end w:w="90" w:type="dxa"/>
            </w:tcMar>
          </w:tcPr>
          <w:p>
            <w:pPr>
              <w:spacing w:after="0" w:line="240" w:lineRule="auto"/>
            </w:pPr>
            <w:r>
              <w:rPr>
                <w:sz w:val="15"/>
              </w:rPr>
              <w:t>AlphaEvolve</w:t>
            </w:r>
          </w:p>
        </w:tc>
        <w:tc>
          <w:tcPr>
            <w:tcW w:type="dxa" w:w="3240"/>
            <w:vAlign w:val="top"/>
            <w:tcMar>
              <w:top w:w="80" w:type="dxa"/>
              <w:start w:w="90" w:type="dxa"/>
              <w:bottom w:w="80" w:type="dxa"/>
              <w:end w:w="90" w:type="dxa"/>
            </w:tcMar>
          </w:tcPr>
          <w:p>
            <w:pPr>
              <w:spacing w:after="0" w:line="240" w:lineRule="auto"/>
            </w:pPr>
            <w:r>
              <w:rPr>
                <w:sz w:val="15"/>
              </w:rPr>
              <w:t>LLM ensemble + evaluator + evolutionary archive</w:t>
            </w:r>
          </w:p>
        </w:tc>
        <w:tc>
          <w:tcPr>
            <w:tcW w:type="dxa" w:w="3456"/>
            <w:vAlign w:val="top"/>
            <w:tcMar>
              <w:top w:w="80" w:type="dxa"/>
              <w:start w:w="90" w:type="dxa"/>
              <w:bottom w:w="80" w:type="dxa"/>
              <w:end w:w="90" w:type="dxa"/>
            </w:tcMar>
          </w:tcPr>
          <w:p>
            <w:pPr>
              <w:spacing w:after="0" w:line="240" w:lineRule="auto"/>
            </w:pPr>
            <w:r>
              <w:rPr>
                <w:sz w:val="15"/>
              </w:rPr>
              <w:t>Закрытый reference design, не готовый open-source TS stack</w:t>
            </w:r>
          </w:p>
        </w:tc>
      </w:tr>
    </w:tbl>
    <w:p>
      <w:pPr>
        <w:spacing w:after="0"/>
      </w:pPr>
    </w:p>
    <w:p>
      <w:pPr>
        <w:widowControl/>
      </w:pPr>
      <w:r>
        <w:t>Chronos-Bolt показал, что архитектурная оптимизация может быть важнее наращивания параметров: авторы сообщают ускорение до 250× и снижение памяти до 20× против исходного Chronos при одновременном улучшении среднего error. Числа относятся к конкретной экспериментальной конфигурации, но делают Bolt важной latency-базой.</w:t>
      </w:r>
      <w:r>
        <w:footnoteReference w:id="13"/>
      </w:r>
    </w:p>
    <w:p>
      <w:pPr>
        <w:widowControl/>
      </w:pPr>
      <w:r>
        <w:t>IBM Granite TSFM содержит Tiny Time Mixers, PatchTST, PatchTSMixer, FlowState и служебные компоненты. TTM ориентирован на малый footprint, CPU и few-shot adaptation; репозиторий открыт под Apache-2.0.</w:t>
      </w:r>
      <w:r>
        <w:footnoteReference w:id="15"/>
      </w:r>
      <w:r>
        <w:footnoteReference w:id="14"/>
      </w:r>
    </w:p>
    <w:p>
      <w:pPr>
        <w:widowControl/>
      </w:pPr>
      <w:r>
        <w:t>AlphaEvolve важен не как готовый forecasting product, а как схема autoresearch: LLM генерируют программы, автоматические evaluators измеряют качество, а evolutionary database удерживает разнообразие и улучшения. Google сообщает реальные улучшения планирования compute и kernels, но система не open-source; её следует использовать как дизайн-паттерн, а не как доступную зависимость.</w:t>
      </w:r>
      <w:r>
        <w:footnoteReference w:id="16"/>
      </w:r>
    </w:p>
    <w:p>
      <w:pPr>
        <w:pStyle w:val="Heading1"/>
      </w:pPr>
      <w:r>
        <w:t>4. Autoresearch для временных рядов</w:t>
      </w:r>
    </w:p>
    <w:p>
      <w:pPr>
        <w:widowControl/>
      </w:pPr>
      <w:r>
        <w:t>Autoresearch — это не просто hyperparameter optimization. Агент формулирует гипотезу, меняет код или конфигурацию, запускает ограниченный эксперимент, читает артефакты, принимает keep/discard и накапливает память экспериментов. Karpathy autoresearch показал минималистичный вариант: агент редактирует один train-файл, каждый прогон ограничен фиксированным временем, а решение принимается по одной validation-метрике. Репозиторий создан для nanochat, а не временных рядов, но протокол хорошо переносится.</w:t>
      </w:r>
      <w:r>
        <w:footnoteReference w:id="17"/>
      </w:r>
    </w:p>
    <w:p>
      <w:pPr>
        <w:widowControl/>
      </w:pPr>
      <w:r>
        <w:t>AI Scientist v2 идёт дальше: генерирует идеи, строит деревья экспериментов, анализирует результаты и пишет статью. Сам репозиторий предупреждает о риске исполнения LLM-generated code и рекомендует sandbox. Для производственного forecasting это означает: агент можно допускать к workspace и compute quota, но нельзя давать ему право менять frozen holdout, scorer, secrets, deployment или правила promotion.</w:t>
      </w:r>
      <w:r>
        <w:footnoteReference w:id="18"/>
      </w:r>
    </w:p>
    <w:tbl>
      <w:tblPr>
        <w:tblStyle w:val="TableGrid"/>
        <w:tblW w:type="auto" w:w="0"/>
        <w:jc w:val="center"/>
        <w:tblLayout w:type="fixed"/>
        <w:tblLook w:firstColumn="1" w:firstRow="1" w:lastColumn="0" w:lastRow="0" w:noHBand="0" w:noVBand="1" w:val="04A0"/>
      </w:tblPr>
      <w:tblGrid>
        <w:gridCol w:w="2033"/>
        <w:gridCol w:w="2033"/>
        <w:gridCol w:w="2033"/>
        <w:gridCol w:w="2033"/>
        <w:gridCol w:w="2033"/>
      </w:tblGrid>
      <w:tr>
        <w:trPr>
          <w:tblHeader w:val="true"/>
        </w:trPr>
        <w:tc>
          <w:tcPr>
            <w:tcW w:type="dxa" w:w="1800"/>
            <w:shd w:fill="16324F"/>
            <w:vAlign w:val="center"/>
            <w:tcMar>
              <w:top w:w="80" w:type="dxa"/>
              <w:start w:w="90" w:type="dxa"/>
              <w:bottom w:w="80" w:type="dxa"/>
              <w:end w:w="90" w:type="dxa"/>
            </w:tcMar>
          </w:tcPr>
          <w:p>
            <w:pPr>
              <w:spacing w:after="0"/>
            </w:pPr>
            <w:r>
              <w:rPr>
                <w:b/>
                <w:color w:val="FFFFFF"/>
                <w:sz w:val="14"/>
              </w:rPr>
              <w:t>Проект</w:t>
            </w:r>
          </w:p>
        </w:tc>
        <w:tc>
          <w:tcPr>
            <w:tcW w:type="dxa" w:w="1944"/>
            <w:shd w:fill="16324F"/>
            <w:vAlign w:val="center"/>
            <w:tcMar>
              <w:top w:w="80" w:type="dxa"/>
              <w:start w:w="90" w:type="dxa"/>
              <w:bottom w:w="80" w:type="dxa"/>
              <w:end w:w="90" w:type="dxa"/>
            </w:tcMar>
          </w:tcPr>
          <w:p>
            <w:pPr>
              <w:spacing w:after="0"/>
            </w:pPr>
            <w:r>
              <w:rPr>
                <w:b/>
                <w:color w:val="FFFFFF"/>
                <w:sz w:val="14"/>
              </w:rPr>
              <w:t>Состояние</w:t>
            </w:r>
          </w:p>
        </w:tc>
        <w:tc>
          <w:tcPr>
            <w:tcW w:type="dxa" w:w="2448"/>
            <w:shd w:fill="16324F"/>
            <w:vAlign w:val="center"/>
            <w:tcMar>
              <w:top w:w="80" w:type="dxa"/>
              <w:start w:w="90" w:type="dxa"/>
              <w:bottom w:w="80" w:type="dxa"/>
              <w:end w:w="90" w:type="dxa"/>
            </w:tcMar>
          </w:tcPr>
          <w:p>
            <w:pPr>
              <w:spacing w:after="0"/>
            </w:pPr>
            <w:r>
              <w:rPr>
                <w:b/>
                <w:color w:val="FFFFFF"/>
                <w:sz w:val="14"/>
              </w:rPr>
              <w:t>Роль</w:t>
            </w:r>
          </w:p>
        </w:tc>
        <w:tc>
          <w:tcPr>
            <w:tcW w:type="dxa" w:w="2304"/>
            <w:shd w:fill="16324F"/>
            <w:vAlign w:val="center"/>
            <w:tcMar>
              <w:top w:w="80" w:type="dxa"/>
              <w:start w:w="90" w:type="dxa"/>
              <w:bottom w:w="80" w:type="dxa"/>
              <w:end w:w="90" w:type="dxa"/>
            </w:tcMar>
          </w:tcPr>
          <w:p>
            <w:pPr>
              <w:spacing w:after="0"/>
            </w:pPr>
            <w:r>
              <w:rPr>
                <w:b/>
                <w:color w:val="FFFFFF"/>
                <w:sz w:val="14"/>
              </w:rPr>
              <w:t>Надёжность свидетельств</w:t>
            </w:r>
          </w:p>
        </w:tc>
        <w:tc>
          <w:tcPr>
            <w:tcW w:type="dxa" w:w="2880"/>
            <w:shd w:fill="16324F"/>
            <w:vAlign w:val="center"/>
            <w:tcMar>
              <w:top w:w="80" w:type="dxa"/>
              <w:start w:w="90" w:type="dxa"/>
              <w:bottom w:w="80" w:type="dxa"/>
              <w:end w:w="90" w:type="dxa"/>
            </w:tcMar>
          </w:tcPr>
          <w:p>
            <w:pPr>
              <w:spacing w:after="0"/>
            </w:pPr>
            <w:r>
              <w:rPr>
                <w:b/>
                <w:color w:val="FFFFFF"/>
                <w:sz w:val="14"/>
              </w:rPr>
              <w:t>Как использовать</w:t>
            </w:r>
          </w:p>
        </w:tc>
      </w:tr>
      <w:tr>
        <w:trPr>
          <w:cantSplit/>
        </w:trPr>
        <w:tc>
          <w:tcPr>
            <w:tcW w:type="dxa" w:w="1800"/>
            <w:vAlign w:val="top"/>
            <w:tcMar>
              <w:top w:w="80" w:type="dxa"/>
              <w:start w:w="90" w:type="dxa"/>
              <w:bottom w:w="80" w:type="dxa"/>
              <w:end w:w="90" w:type="dxa"/>
            </w:tcMar>
          </w:tcPr>
          <w:p>
            <w:pPr>
              <w:spacing w:after="0" w:line="240" w:lineRule="auto"/>
            </w:pPr>
            <w:r>
              <w:rPr>
                <w:sz w:val="14"/>
              </w:rPr>
              <w:t>autoresearch</w:t>
            </w:r>
          </w:p>
        </w:tc>
        <w:tc>
          <w:tcPr>
            <w:tcW w:type="dxa" w:w="1944"/>
            <w:vAlign w:val="top"/>
            <w:tcMar>
              <w:top w:w="80" w:type="dxa"/>
              <w:start w:w="90" w:type="dxa"/>
              <w:bottom w:w="80" w:type="dxa"/>
              <w:end w:w="90" w:type="dxa"/>
            </w:tcMar>
          </w:tcPr>
          <w:p>
            <w:pPr>
              <w:spacing w:after="0" w:line="240" w:lineRule="auto"/>
            </w:pPr>
            <w:r>
              <w:rPr>
                <w:sz w:val="14"/>
              </w:rPr>
              <w:t>Open-source harness</w:t>
            </w:r>
          </w:p>
        </w:tc>
        <w:tc>
          <w:tcPr>
            <w:tcW w:type="dxa" w:w="2448"/>
            <w:vAlign w:val="top"/>
            <w:tcMar>
              <w:top w:w="80" w:type="dxa"/>
              <w:start w:w="90" w:type="dxa"/>
              <w:bottom w:w="80" w:type="dxa"/>
              <w:end w:w="90" w:type="dxa"/>
            </w:tcMar>
          </w:tcPr>
          <w:p>
            <w:pPr>
              <w:spacing w:after="0" w:line="240" w:lineRule="auto"/>
            </w:pPr>
            <w:r>
              <w:rPr>
                <w:sz w:val="14"/>
              </w:rPr>
              <w:t>Автономный edit–run–keep цикл</w:t>
            </w:r>
          </w:p>
        </w:tc>
        <w:tc>
          <w:tcPr>
            <w:tcW w:type="dxa" w:w="2304"/>
            <w:vAlign w:val="top"/>
            <w:tcMar>
              <w:top w:w="80" w:type="dxa"/>
              <w:start w:w="90" w:type="dxa"/>
              <w:bottom w:w="80" w:type="dxa"/>
              <w:end w:w="90" w:type="dxa"/>
            </w:tcMar>
          </w:tcPr>
          <w:p>
            <w:pPr>
              <w:spacing w:after="0" w:line="240" w:lineRule="auto"/>
            </w:pPr>
            <w:r>
              <w:rPr>
                <w:sz w:val="14"/>
              </w:rPr>
              <w:t>Высокая для механики; не TS</w:t>
            </w:r>
          </w:p>
        </w:tc>
        <w:tc>
          <w:tcPr>
            <w:tcW w:type="dxa" w:w="2880"/>
            <w:vAlign w:val="top"/>
            <w:tcMar>
              <w:top w:w="80" w:type="dxa"/>
              <w:start w:w="90" w:type="dxa"/>
              <w:bottom w:w="80" w:type="dxa"/>
              <w:end w:w="90" w:type="dxa"/>
            </w:tcMar>
          </w:tcPr>
          <w:p>
            <w:pPr>
              <w:spacing w:after="0" w:line="240" w:lineRule="auto"/>
            </w:pPr>
            <w:r>
              <w:rPr>
                <w:sz w:val="14"/>
              </w:rPr>
              <w:t>Адаптировать evaluator и immutable files</w:t>
            </w:r>
          </w:p>
        </w:tc>
      </w:tr>
      <w:tr>
        <w:trPr>
          <w:cantSplit/>
        </w:trPr>
        <w:tc>
          <w:tcPr>
            <w:tcW w:type="dxa" w:w="1800"/>
            <w:vAlign w:val="top"/>
            <w:tcMar>
              <w:top w:w="80" w:type="dxa"/>
              <w:start w:w="90" w:type="dxa"/>
              <w:bottom w:w="80" w:type="dxa"/>
              <w:end w:w="90" w:type="dxa"/>
            </w:tcMar>
            <w:shd w:fill="F3F6F8"/>
          </w:tcPr>
          <w:p>
            <w:pPr>
              <w:spacing w:after="0" w:line="240" w:lineRule="auto"/>
            </w:pPr>
            <w:r>
              <w:rPr>
                <w:sz w:val="14"/>
              </w:rPr>
              <w:t>AI Scientist v2</w:t>
            </w:r>
          </w:p>
        </w:tc>
        <w:tc>
          <w:tcPr>
            <w:tcW w:type="dxa" w:w="1944"/>
            <w:vAlign w:val="top"/>
            <w:tcMar>
              <w:top w:w="80" w:type="dxa"/>
              <w:start w:w="90" w:type="dxa"/>
              <w:bottom w:w="80" w:type="dxa"/>
              <w:end w:w="90" w:type="dxa"/>
            </w:tcMar>
            <w:shd w:fill="F3F6F8"/>
          </w:tcPr>
          <w:p>
            <w:pPr>
              <w:spacing w:after="0" w:line="240" w:lineRule="auto"/>
            </w:pPr>
            <w:r>
              <w:rPr>
                <w:sz w:val="14"/>
              </w:rPr>
              <w:t>Open-source research system</w:t>
            </w:r>
          </w:p>
        </w:tc>
        <w:tc>
          <w:tcPr>
            <w:tcW w:type="dxa" w:w="2448"/>
            <w:vAlign w:val="top"/>
            <w:tcMar>
              <w:top w:w="80" w:type="dxa"/>
              <w:start w:w="90" w:type="dxa"/>
              <w:bottom w:w="80" w:type="dxa"/>
              <w:end w:w="90" w:type="dxa"/>
            </w:tcMar>
            <w:shd w:fill="F3F6F8"/>
          </w:tcPr>
          <w:p>
            <w:pPr>
              <w:spacing w:after="0" w:line="240" w:lineRule="auto"/>
            </w:pPr>
            <w:r>
              <w:rPr>
                <w:sz w:val="14"/>
              </w:rPr>
              <w:t>Hypothesis/experiments/report</w:t>
            </w:r>
          </w:p>
        </w:tc>
        <w:tc>
          <w:tcPr>
            <w:tcW w:type="dxa" w:w="2304"/>
            <w:vAlign w:val="top"/>
            <w:tcMar>
              <w:top w:w="80" w:type="dxa"/>
              <w:start w:w="90" w:type="dxa"/>
              <w:bottom w:w="80" w:type="dxa"/>
              <w:end w:w="90" w:type="dxa"/>
            </w:tcMar>
            <w:shd w:fill="F3F6F8"/>
          </w:tcPr>
          <w:p>
            <w:pPr>
              <w:spacing w:after="0" w:line="240" w:lineRule="auto"/>
            </w:pPr>
            <w:r>
              <w:rPr>
                <w:sz w:val="14"/>
              </w:rPr>
              <w:t>Высокая для системы; высокая risk surface</w:t>
            </w:r>
          </w:p>
        </w:tc>
        <w:tc>
          <w:tcPr>
            <w:tcW w:type="dxa" w:w="2880"/>
            <w:vAlign w:val="top"/>
            <w:tcMar>
              <w:top w:w="80" w:type="dxa"/>
              <w:start w:w="90" w:type="dxa"/>
              <w:bottom w:w="80" w:type="dxa"/>
              <w:end w:w="90" w:type="dxa"/>
            </w:tcMar>
            <w:shd w:fill="F3F6F8"/>
          </w:tcPr>
          <w:p>
            <w:pPr>
              <w:spacing w:after="0" w:line="240" w:lineRule="auto"/>
            </w:pPr>
            <w:r>
              <w:rPr>
                <w:sz w:val="14"/>
              </w:rPr>
              <w:t>Только контейнер + budget + human gate</w:t>
            </w:r>
          </w:p>
        </w:tc>
      </w:tr>
      <w:tr>
        <w:trPr>
          <w:cantSplit/>
        </w:trPr>
        <w:tc>
          <w:tcPr>
            <w:tcW w:type="dxa" w:w="1800"/>
            <w:vAlign w:val="top"/>
            <w:tcMar>
              <w:top w:w="80" w:type="dxa"/>
              <w:start w:w="90" w:type="dxa"/>
              <w:bottom w:w="80" w:type="dxa"/>
              <w:end w:w="90" w:type="dxa"/>
            </w:tcMar>
          </w:tcPr>
          <w:p>
            <w:pPr>
              <w:spacing w:after="0" w:line="240" w:lineRule="auto"/>
            </w:pPr>
            <w:r>
              <w:rPr>
                <w:sz w:val="14"/>
              </w:rPr>
              <w:t>TimeSeriesScientist</w:t>
            </w:r>
          </w:p>
        </w:tc>
        <w:tc>
          <w:tcPr>
            <w:tcW w:type="dxa" w:w="1944"/>
            <w:vAlign w:val="top"/>
            <w:tcMar>
              <w:top w:w="80" w:type="dxa"/>
              <w:start w:w="90" w:type="dxa"/>
              <w:bottom w:w="80" w:type="dxa"/>
              <w:end w:w="90" w:type="dxa"/>
            </w:tcMar>
          </w:tcPr>
          <w:p>
            <w:pPr>
              <w:spacing w:after="0" w:line="240" w:lineRule="auto"/>
            </w:pPr>
            <w:r>
              <w:rPr>
                <w:sz w:val="14"/>
              </w:rPr>
              <w:t>Research preprint</w:t>
            </w:r>
          </w:p>
        </w:tc>
        <w:tc>
          <w:tcPr>
            <w:tcW w:type="dxa" w:w="2448"/>
            <w:vAlign w:val="top"/>
            <w:tcMar>
              <w:top w:w="80" w:type="dxa"/>
              <w:start w:w="90" w:type="dxa"/>
              <w:bottom w:w="80" w:type="dxa"/>
              <w:end w:w="90" w:type="dxa"/>
            </w:tcMar>
          </w:tcPr>
          <w:p>
            <w:pPr>
              <w:spacing w:after="0" w:line="240" w:lineRule="auto"/>
            </w:pPr>
            <w:r>
              <w:rPr>
                <w:sz w:val="14"/>
              </w:rPr>
              <w:t>Curator/Planner/Forecaster/Reporter</w:t>
            </w:r>
          </w:p>
        </w:tc>
        <w:tc>
          <w:tcPr>
            <w:tcW w:type="dxa" w:w="2304"/>
            <w:vAlign w:val="top"/>
            <w:tcMar>
              <w:top w:w="80" w:type="dxa"/>
              <w:start w:w="90" w:type="dxa"/>
              <w:bottom w:w="80" w:type="dxa"/>
              <w:end w:w="90" w:type="dxa"/>
            </w:tcMar>
          </w:tcPr>
          <w:p>
            <w:pPr>
              <w:spacing w:after="0" w:line="240" w:lineRule="auto"/>
            </w:pPr>
            <w:r>
              <w:rPr>
                <w:sz w:val="14"/>
              </w:rPr>
              <w:t>Средняя; авторские результаты</w:t>
            </w:r>
          </w:p>
        </w:tc>
        <w:tc>
          <w:tcPr>
            <w:tcW w:type="dxa" w:w="2880"/>
            <w:vAlign w:val="top"/>
            <w:tcMar>
              <w:top w:w="80" w:type="dxa"/>
              <w:start w:w="90" w:type="dxa"/>
              <w:bottom w:w="80" w:type="dxa"/>
              <w:end w:w="90" w:type="dxa"/>
            </w:tcMar>
          </w:tcPr>
          <w:p>
            <w:pPr>
              <w:spacing w:after="0" w:line="240" w:lineRule="auto"/>
            </w:pPr>
            <w:r>
              <w:rPr>
                <w:sz w:val="14"/>
              </w:rPr>
              <w:t>Источник агентных ролей</w:t>
            </w:r>
          </w:p>
        </w:tc>
      </w:tr>
      <w:tr>
        <w:trPr>
          <w:cantSplit/>
        </w:trPr>
        <w:tc>
          <w:tcPr>
            <w:tcW w:type="dxa" w:w="1800"/>
            <w:vAlign w:val="top"/>
            <w:tcMar>
              <w:top w:w="80" w:type="dxa"/>
              <w:start w:w="90" w:type="dxa"/>
              <w:bottom w:w="80" w:type="dxa"/>
              <w:end w:w="90" w:type="dxa"/>
            </w:tcMar>
            <w:shd w:fill="F3F6F8"/>
          </w:tcPr>
          <w:p>
            <w:pPr>
              <w:spacing w:after="0" w:line="240" w:lineRule="auto"/>
            </w:pPr>
            <w:r>
              <w:rPr>
                <w:sz w:val="14"/>
              </w:rPr>
              <w:t>SEA-TS</w:t>
            </w:r>
          </w:p>
        </w:tc>
        <w:tc>
          <w:tcPr>
            <w:tcW w:type="dxa" w:w="1944"/>
            <w:vAlign w:val="top"/>
            <w:tcMar>
              <w:top w:w="80" w:type="dxa"/>
              <w:start w:w="90" w:type="dxa"/>
              <w:bottom w:w="80" w:type="dxa"/>
              <w:end w:w="90" w:type="dxa"/>
            </w:tcMar>
            <w:shd w:fill="F3F6F8"/>
          </w:tcPr>
          <w:p>
            <w:pPr>
              <w:spacing w:after="0" w:line="240" w:lineRule="auto"/>
            </w:pPr>
            <w:r>
              <w:rPr>
                <w:sz w:val="14"/>
              </w:rPr>
              <w:t>Очень свежий preprint</w:t>
            </w:r>
          </w:p>
        </w:tc>
        <w:tc>
          <w:tcPr>
            <w:tcW w:type="dxa" w:w="2448"/>
            <w:vAlign w:val="top"/>
            <w:tcMar>
              <w:top w:w="80" w:type="dxa"/>
              <w:start w:w="90" w:type="dxa"/>
              <w:bottom w:w="80" w:type="dxa"/>
              <w:end w:w="90" w:type="dxa"/>
            </w:tcMar>
            <w:shd w:fill="F3F6F8"/>
          </w:tcPr>
          <w:p>
            <w:pPr>
              <w:spacing w:after="0" w:line="240" w:lineRule="auto"/>
            </w:pPr>
            <w:r>
              <w:rPr>
                <w:sz w:val="14"/>
              </w:rPr>
              <w:t>MA-MCTS, code review, MAP-Elites</w:t>
            </w:r>
          </w:p>
        </w:tc>
        <w:tc>
          <w:tcPr>
            <w:tcW w:type="dxa" w:w="2304"/>
            <w:vAlign w:val="top"/>
            <w:tcMar>
              <w:top w:w="80" w:type="dxa"/>
              <w:start w:w="90" w:type="dxa"/>
              <w:bottom w:w="80" w:type="dxa"/>
              <w:end w:w="90" w:type="dxa"/>
            </w:tcMar>
            <w:shd w:fill="F3F6F8"/>
          </w:tcPr>
          <w:p>
            <w:pPr>
              <w:spacing w:after="0" w:line="240" w:lineRule="auto"/>
            </w:pPr>
            <w:r>
              <w:rPr>
                <w:sz w:val="14"/>
              </w:rPr>
              <w:t>Низкая–средняя до независимой репликации</w:t>
            </w:r>
          </w:p>
        </w:tc>
        <w:tc>
          <w:tcPr>
            <w:tcW w:type="dxa" w:w="2880"/>
            <w:vAlign w:val="top"/>
            <w:tcMar>
              <w:top w:w="80" w:type="dxa"/>
              <w:start w:w="90" w:type="dxa"/>
              <w:bottom w:w="80" w:type="dxa"/>
              <w:end w:w="90" w:type="dxa"/>
            </w:tcMar>
            <w:shd w:fill="F3F6F8"/>
          </w:tcPr>
          <w:p>
            <w:pPr>
              <w:spacing w:after="0" w:line="240" w:lineRule="auto"/>
            </w:pPr>
            <w:r>
              <w:rPr>
                <w:sz w:val="14"/>
              </w:rPr>
              <w:t>Идея diversity-aware search</w:t>
            </w:r>
          </w:p>
        </w:tc>
      </w:tr>
      <w:tr>
        <w:trPr>
          <w:cantSplit/>
        </w:trPr>
        <w:tc>
          <w:tcPr>
            <w:tcW w:type="dxa" w:w="1800"/>
            <w:vAlign w:val="top"/>
            <w:tcMar>
              <w:top w:w="80" w:type="dxa"/>
              <w:start w:w="90" w:type="dxa"/>
              <w:bottom w:w="80" w:type="dxa"/>
              <w:end w:w="90" w:type="dxa"/>
            </w:tcMar>
          </w:tcPr>
          <w:p>
            <w:pPr>
              <w:spacing w:after="0" w:line="240" w:lineRule="auto"/>
            </w:pPr>
            <w:r>
              <w:rPr>
                <w:sz w:val="14"/>
              </w:rPr>
              <w:t>CastFlow / Cast-R1 / CastFSR / CastClaw</w:t>
            </w:r>
          </w:p>
        </w:tc>
        <w:tc>
          <w:tcPr>
            <w:tcW w:type="dxa" w:w="1944"/>
            <w:vAlign w:val="top"/>
            <w:tcMar>
              <w:top w:w="80" w:type="dxa"/>
              <w:start w:w="90" w:type="dxa"/>
              <w:bottom w:w="80" w:type="dxa"/>
              <w:end w:w="90" w:type="dxa"/>
            </w:tcMar>
          </w:tcPr>
          <w:p>
            <w:pPr>
              <w:spacing w:after="0" w:line="240" w:lineRule="auto"/>
            </w:pPr>
            <w:r>
              <w:rPr>
                <w:sz w:val="14"/>
              </w:rPr>
              <w:t>2026 preprints/repos</w:t>
            </w:r>
          </w:p>
        </w:tc>
        <w:tc>
          <w:tcPr>
            <w:tcW w:type="dxa" w:w="2448"/>
            <w:vAlign w:val="top"/>
            <w:tcMar>
              <w:top w:w="80" w:type="dxa"/>
              <w:start w:w="90" w:type="dxa"/>
              <w:bottom w:w="80" w:type="dxa"/>
              <w:end w:w="90" w:type="dxa"/>
            </w:tcMar>
          </w:tcPr>
          <w:p>
            <w:pPr>
              <w:spacing w:after="0" w:line="240" w:lineRule="auto"/>
            </w:pPr>
            <w:r>
              <w:rPr>
                <w:sz w:val="14"/>
              </w:rPr>
              <w:t>Planning, reflection, SFT/RL, human-in-loop</w:t>
            </w:r>
          </w:p>
        </w:tc>
        <w:tc>
          <w:tcPr>
            <w:tcW w:type="dxa" w:w="2304"/>
            <w:vAlign w:val="top"/>
            <w:tcMar>
              <w:top w:w="80" w:type="dxa"/>
              <w:start w:w="90" w:type="dxa"/>
              <w:bottom w:w="80" w:type="dxa"/>
              <w:end w:w="90" w:type="dxa"/>
            </w:tcMar>
          </w:tcPr>
          <w:p>
            <w:pPr>
              <w:spacing w:after="0" w:line="240" w:lineRule="auto"/>
            </w:pPr>
            <w:r>
              <w:rPr>
                <w:sz w:val="14"/>
              </w:rPr>
              <w:t>Низкая–средняя</w:t>
            </w:r>
          </w:p>
        </w:tc>
        <w:tc>
          <w:tcPr>
            <w:tcW w:type="dxa" w:w="2880"/>
            <w:vAlign w:val="top"/>
            <w:tcMar>
              <w:top w:w="80" w:type="dxa"/>
              <w:start w:w="90" w:type="dxa"/>
              <w:bottom w:w="80" w:type="dxa"/>
              <w:end w:w="90" w:type="dxa"/>
            </w:tcMar>
          </w:tcPr>
          <w:p>
            <w:pPr>
              <w:spacing w:after="0" w:line="240" w:lineRule="auto"/>
            </w:pPr>
            <w:r>
              <w:rPr>
                <w:sz w:val="14"/>
              </w:rPr>
              <w:t>Watchlist; не ядро production</w:t>
            </w:r>
          </w:p>
        </w:tc>
      </w:tr>
      <w:tr>
        <w:trPr>
          <w:cantSplit/>
        </w:trPr>
        <w:tc>
          <w:tcPr>
            <w:tcW w:type="dxa" w:w="1800"/>
            <w:vAlign w:val="top"/>
            <w:tcMar>
              <w:top w:w="80" w:type="dxa"/>
              <w:start w:w="90" w:type="dxa"/>
              <w:bottom w:w="80" w:type="dxa"/>
              <w:end w:w="90" w:type="dxa"/>
            </w:tcMar>
            <w:shd w:fill="F3F6F8"/>
          </w:tcPr>
          <w:p>
            <w:pPr>
              <w:spacing w:after="0" w:line="240" w:lineRule="auto"/>
            </w:pPr>
            <w:r>
              <w:rPr>
                <w:sz w:val="14"/>
              </w:rPr>
              <w:t>TimeCopilot</w:t>
            </w:r>
          </w:p>
        </w:tc>
        <w:tc>
          <w:tcPr>
            <w:tcW w:type="dxa" w:w="1944"/>
            <w:vAlign w:val="top"/>
            <w:tcMar>
              <w:top w:w="80" w:type="dxa"/>
              <w:start w:w="90" w:type="dxa"/>
              <w:bottom w:w="80" w:type="dxa"/>
              <w:end w:w="90" w:type="dxa"/>
            </w:tcMar>
            <w:shd w:fill="F3F6F8"/>
          </w:tcPr>
          <w:p>
            <w:pPr>
              <w:spacing w:after="0" w:line="240" w:lineRule="auto"/>
            </w:pPr>
            <w:r>
              <w:rPr>
                <w:sz w:val="14"/>
              </w:rPr>
              <w:t>Open-source agent/interface</w:t>
            </w:r>
          </w:p>
        </w:tc>
        <w:tc>
          <w:tcPr>
            <w:tcW w:type="dxa" w:w="2448"/>
            <w:vAlign w:val="top"/>
            <w:tcMar>
              <w:top w:w="80" w:type="dxa"/>
              <w:start w:w="90" w:type="dxa"/>
              <w:bottom w:w="80" w:type="dxa"/>
              <w:end w:w="90" w:type="dxa"/>
            </w:tcMar>
            <w:shd w:fill="F3F6F8"/>
          </w:tcPr>
          <w:p>
            <w:pPr>
              <w:spacing w:after="0" w:line="240" w:lineRule="auto"/>
            </w:pPr>
            <w:r>
              <w:rPr>
                <w:sz w:val="14"/>
              </w:rPr>
              <w:t>Model discovery, selection and backtests</w:t>
            </w:r>
          </w:p>
        </w:tc>
        <w:tc>
          <w:tcPr>
            <w:tcW w:type="dxa" w:w="2304"/>
            <w:vAlign w:val="top"/>
            <w:tcMar>
              <w:top w:w="80" w:type="dxa"/>
              <w:start w:w="90" w:type="dxa"/>
              <w:bottom w:w="80" w:type="dxa"/>
              <w:end w:w="90" w:type="dxa"/>
            </w:tcMar>
            <w:shd w:fill="F3F6F8"/>
          </w:tcPr>
          <w:p>
            <w:pPr>
              <w:spacing w:after="0" w:line="240" w:lineRule="auto"/>
            </w:pPr>
            <w:r>
              <w:rPr>
                <w:sz w:val="14"/>
              </w:rPr>
              <w:t>Средняя; benchmark claim требует репликации</w:t>
            </w:r>
          </w:p>
        </w:tc>
        <w:tc>
          <w:tcPr>
            <w:tcW w:type="dxa" w:w="2880"/>
            <w:vAlign w:val="top"/>
            <w:tcMar>
              <w:top w:w="80" w:type="dxa"/>
              <w:start w:w="90" w:type="dxa"/>
              <w:bottom w:w="80" w:type="dxa"/>
              <w:end w:w="90" w:type="dxa"/>
            </w:tcMar>
            <w:shd w:fill="F3F6F8"/>
          </w:tcPr>
          <w:p>
            <w:pPr>
              <w:spacing w:after="0" w:line="240" w:lineRule="auto"/>
            </w:pPr>
            <w:r>
              <w:rPr>
                <w:sz w:val="14"/>
              </w:rPr>
              <w:t>Ускоряет прототип и unified access</w:t>
            </w:r>
          </w:p>
        </w:tc>
      </w:tr>
    </w:tbl>
    <w:p>
      <w:pPr>
        <w:spacing w:after="0"/>
      </w:pPr>
    </w:p>
    <w:p>
      <w:pPr>
        <w:widowControl/>
      </w:pPr>
      <w:r>
        <w:t>В академической волне 2025–2026 TimeSeriesScientist сообщает среднее улучшение на 10,4% против статистических и на 38,2% против LLM-baseline в восьми benchmark-задачах; SEA-TS заявляет 40% снижения MAE против TimeMixer на Solar-Energy. Это авторские результаты свежих preprints, поэтому они задают направления поиска, но не production default.</w:t>
      </w:r>
      <w:r>
        <w:footnoteReference w:id="20"/>
      </w:r>
      <w:r>
        <w:footnoteReference w:id="19"/>
      </w:r>
    </w:p>
    <w:p>
      <w:pPr>
        <w:widowControl/>
      </w:pPr>
      <w:r>
        <w:t>Cast-family исследует reasoning и feedback для forecast agents: Cast-R1 обучает reasoning, CastFSR разделяет fast/slow/reflection, а CastClaw добавляет human-in-the-loop и versioned execution. На момент среза это frontier research; использовать следует только после воспроизводимого domain backtest.</w:t>
      </w:r>
      <w:r>
        <w:footnoteReference w:id="23"/>
      </w:r>
      <w:r>
        <w:footnoteReference w:id="22"/>
      </w:r>
      <w:r>
        <w:footnoteReference w:id="21"/>
      </w:r>
    </w:p>
    <w:p>
      <w:pPr>
        <w:pStyle w:val="Heading2"/>
      </w:pPr>
      <w:r>
        <w:t>4.1. Безопасный agentic experiment loop</w:t>
      </w:r>
    </w:p>
    <w:p>
      <w:pPr>
        <w:spacing w:after="80"/>
        <w:ind w:left="374" w:hanging="317"/>
      </w:pPr>
      <w:r>
        <w:t>1.  Зафиксировать manifest данных, cutoff, folds, business loss, probabilistic score и compute budget. Эти файлы read-only для агента.</w:t>
      </w:r>
    </w:p>
    <w:p>
      <w:pPr>
        <w:spacing w:after="80"/>
        <w:ind w:left="374" w:hanging="317"/>
      </w:pPr>
      <w:r>
        <w:t>2.  Дать агенту каталог кандидата: features, model, hyperparameters и краткую hypothesis card — ожидаемый механизм улучшения и риск.</w:t>
      </w:r>
    </w:p>
    <w:p>
      <w:pPr>
        <w:spacing w:after="80"/>
        <w:ind w:left="374" w:hanging="317"/>
      </w:pPr>
      <w:r>
        <w:t>3.  Запускать дешёвый smoke backtest, затем successive halving: только top candidates получают все серии, horizons и seeds.</w:t>
      </w:r>
    </w:p>
    <w:p>
      <w:pPr>
        <w:spacing w:after="80"/>
        <w:ind w:left="374" w:hanging="317"/>
      </w:pPr>
      <w:r>
        <w:t>4.  Scorekeeper возвращает метрики, runtime, peak memory, coverage, interval width и failure modes; агент не получает финальный holdout.</w:t>
      </w:r>
    </w:p>
    <w:p>
      <w:pPr>
        <w:spacing w:after="80"/>
        <w:ind w:left="374" w:hanging="317"/>
      </w:pPr>
      <w:r>
        <w:t>5.  Keep только если improvement превосходит заранее заданный practical threshold и нижняя граница block-bootstrap CI положительна хотя бы на ключевых сегментах.</w:t>
      </w:r>
    </w:p>
    <w:p>
      <w:pPr>
        <w:spacing w:after="80"/>
        <w:ind w:left="374" w:hanging="317"/>
      </w:pPr>
      <w:r>
        <w:t>6.  Раз в N итераций запускать diversity step: новый класс модели, другое семейство признаков или другая loss, чтобы поиск не застрял в локальном оптимуме.</w:t>
      </w:r>
    </w:p>
    <w:p>
      <w:pPr>
        <w:spacing w:after="80"/>
        <w:ind w:left="374" w:hanging="317"/>
      </w:pPr>
      <w:r>
        <w:t>7.  Promotion в candidate registry и production — только через human review, reproducibility rerun и финальный sealed test.</w:t>
      </w:r>
    </w:p>
    <w:p>
      <w:pPr>
        <w:pStyle w:val="Heading1"/>
      </w:pPr>
      <w:r>
        <w:t>5. Стек Python, R и agent integration</w:t>
      </w:r>
    </w:p>
    <w:tbl>
      <w:tblPr>
        <w:tblStyle w:val="TableGrid"/>
        <w:tblW w:type="auto" w:w="0"/>
        <w:jc w:val="center"/>
        <w:tblLayout w:type="fixed"/>
        <w:tblLook w:firstColumn="1" w:firstRow="1" w:lastColumn="0" w:lastRow="0" w:noHBand="0" w:noVBand="1" w:val="04A0"/>
      </w:tblPr>
      <w:tblGrid>
        <w:gridCol w:w="2033"/>
        <w:gridCol w:w="2033"/>
        <w:gridCol w:w="2033"/>
        <w:gridCol w:w="2033"/>
        <w:gridCol w:w="2033"/>
      </w:tblGrid>
      <w:tr>
        <w:trPr>
          <w:tblHeader w:val="true"/>
        </w:trPr>
        <w:tc>
          <w:tcPr>
            <w:tcW w:type="dxa" w:w="2088"/>
            <w:shd w:fill="16324F"/>
            <w:vAlign w:val="center"/>
            <w:tcMar>
              <w:top w:w="80" w:type="dxa"/>
              <w:start w:w="90" w:type="dxa"/>
              <w:bottom w:w="80" w:type="dxa"/>
              <w:end w:w="90" w:type="dxa"/>
            </w:tcMar>
          </w:tcPr>
          <w:p>
            <w:pPr>
              <w:spacing w:after="0"/>
            </w:pPr>
            <w:r>
              <w:rPr>
                <w:b/>
                <w:color w:val="FFFFFF"/>
                <w:sz w:val="14"/>
              </w:rPr>
              <w:t>Инструмент</w:t>
            </w:r>
          </w:p>
        </w:tc>
        <w:tc>
          <w:tcPr>
            <w:tcW w:type="dxa" w:w="936"/>
            <w:shd w:fill="16324F"/>
            <w:vAlign w:val="center"/>
            <w:tcMar>
              <w:top w:w="80" w:type="dxa"/>
              <w:start w:w="90" w:type="dxa"/>
              <w:bottom w:w="80" w:type="dxa"/>
              <w:end w:w="90" w:type="dxa"/>
            </w:tcMar>
          </w:tcPr>
          <w:p>
            <w:pPr>
              <w:spacing w:after="0"/>
            </w:pPr>
            <w:r>
              <w:rPr>
                <w:b/>
                <w:color w:val="FFFFFF"/>
                <w:sz w:val="14"/>
              </w:rPr>
              <w:t>Язык</w:t>
            </w:r>
          </w:p>
        </w:tc>
        <w:tc>
          <w:tcPr>
            <w:tcW w:type="dxa" w:w="3528"/>
            <w:shd w:fill="16324F"/>
            <w:vAlign w:val="center"/>
            <w:tcMar>
              <w:top w:w="80" w:type="dxa"/>
              <w:start w:w="90" w:type="dxa"/>
              <w:bottom w:w="80" w:type="dxa"/>
              <w:end w:w="90" w:type="dxa"/>
            </w:tcMar>
          </w:tcPr>
          <w:p>
            <w:pPr>
              <w:spacing w:after="0"/>
            </w:pPr>
            <w:r>
              <w:rPr>
                <w:b/>
                <w:color w:val="FFFFFF"/>
                <w:sz w:val="14"/>
              </w:rPr>
              <w:t>Лучшее применение</w:t>
            </w:r>
          </w:p>
        </w:tc>
        <w:tc>
          <w:tcPr>
            <w:tcW w:type="dxa" w:w="2232"/>
            <w:shd w:fill="16324F"/>
            <w:vAlign w:val="center"/>
            <w:tcMar>
              <w:top w:w="80" w:type="dxa"/>
              <w:start w:w="90" w:type="dxa"/>
              <w:bottom w:w="80" w:type="dxa"/>
              <w:end w:w="90" w:type="dxa"/>
            </w:tcMar>
          </w:tcPr>
          <w:p>
            <w:pPr>
              <w:spacing w:after="0"/>
            </w:pPr>
            <w:r>
              <w:rPr>
                <w:b/>
                <w:color w:val="FFFFFF"/>
                <w:sz w:val="14"/>
              </w:rPr>
              <w:t>Интервалы / вероятности</w:t>
            </w:r>
          </w:p>
        </w:tc>
        <w:tc>
          <w:tcPr>
            <w:tcW w:type="dxa" w:w="1656"/>
            <w:shd w:fill="16324F"/>
            <w:vAlign w:val="center"/>
            <w:tcMar>
              <w:top w:w="80" w:type="dxa"/>
              <w:start w:w="90" w:type="dxa"/>
              <w:bottom w:w="80" w:type="dxa"/>
              <w:end w:w="90" w:type="dxa"/>
            </w:tcMar>
          </w:tcPr>
          <w:p>
            <w:pPr>
              <w:spacing w:after="0"/>
            </w:pPr>
            <w:r>
              <w:rPr>
                <w:b/>
                <w:color w:val="FFFFFF"/>
                <w:sz w:val="14"/>
              </w:rPr>
              <w:t>Лицензия</w:t>
            </w:r>
          </w:p>
        </w:tc>
      </w:tr>
      <w:tr>
        <w:trPr>
          <w:cantSplit/>
        </w:trPr>
        <w:tc>
          <w:tcPr>
            <w:tcW w:type="dxa" w:w="2088"/>
            <w:vAlign w:val="top"/>
            <w:tcMar>
              <w:top w:w="80" w:type="dxa"/>
              <w:start w:w="90" w:type="dxa"/>
              <w:bottom w:w="80" w:type="dxa"/>
              <w:end w:w="90" w:type="dxa"/>
            </w:tcMar>
          </w:tcPr>
          <w:p>
            <w:pPr>
              <w:spacing w:after="0" w:line="240" w:lineRule="auto"/>
            </w:pPr>
            <w:r>
              <w:rPr>
                <w:sz w:val="14"/>
              </w:rPr>
              <w:t>AutoGluon TimeSeries</w:t>
            </w:r>
          </w:p>
        </w:tc>
        <w:tc>
          <w:tcPr>
            <w:tcW w:type="dxa" w:w="936"/>
            <w:vAlign w:val="top"/>
            <w:tcMar>
              <w:top w:w="80" w:type="dxa"/>
              <w:start w:w="90" w:type="dxa"/>
              <w:bottom w:w="80" w:type="dxa"/>
              <w:end w:w="90" w:type="dxa"/>
            </w:tcMar>
          </w:tcPr>
          <w:p>
            <w:pPr>
              <w:spacing w:after="0" w:line="240" w:lineRule="auto"/>
            </w:pPr>
            <w:r>
              <w:rPr>
                <w:sz w:val="14"/>
              </w:rPr>
              <w:t>Python</w:t>
            </w:r>
          </w:p>
        </w:tc>
        <w:tc>
          <w:tcPr>
            <w:tcW w:type="dxa" w:w="3528"/>
            <w:vAlign w:val="top"/>
            <w:tcMar>
              <w:top w:w="80" w:type="dxa"/>
              <w:start w:w="90" w:type="dxa"/>
              <w:bottom w:w="80" w:type="dxa"/>
              <w:end w:w="90" w:type="dxa"/>
            </w:tcMar>
          </w:tcPr>
          <w:p>
            <w:pPr>
              <w:spacing w:after="0" w:line="240" w:lineRule="auto"/>
            </w:pPr>
            <w:r>
              <w:rPr>
                <w:sz w:val="14"/>
              </w:rPr>
              <w:t>AutoML, HPO, weighted ensemble, TSFM + local models</w:t>
            </w:r>
          </w:p>
        </w:tc>
        <w:tc>
          <w:tcPr>
            <w:tcW w:type="dxa" w:w="2232"/>
            <w:vAlign w:val="top"/>
            <w:tcMar>
              <w:top w:w="80" w:type="dxa"/>
              <w:start w:w="90" w:type="dxa"/>
              <w:bottom w:w="80" w:type="dxa"/>
              <w:end w:w="90" w:type="dxa"/>
            </w:tcMar>
          </w:tcPr>
          <w:p>
            <w:pPr>
              <w:spacing w:after="0" w:line="240" w:lineRule="auto"/>
            </w:pPr>
            <w:r>
              <w:rPr>
                <w:sz w:val="14"/>
              </w:rPr>
              <w:t>Нативные quantiles</w:t>
            </w:r>
          </w:p>
        </w:tc>
        <w:tc>
          <w:tcPr>
            <w:tcW w:type="dxa" w:w="1656"/>
            <w:vAlign w:val="top"/>
            <w:tcMar>
              <w:top w:w="80" w:type="dxa"/>
              <w:start w:w="90" w:type="dxa"/>
              <w:bottom w:w="80" w:type="dxa"/>
              <w:end w:w="90" w:type="dxa"/>
            </w:tcMar>
          </w:tcPr>
          <w:p>
            <w:pPr>
              <w:spacing w:after="0" w:line="240" w:lineRule="auto"/>
            </w:pPr>
            <w:r>
              <w:rPr>
                <w:sz w:val="14"/>
              </w:rPr>
              <w:t>Apache-2.0</w:t>
            </w:r>
          </w:p>
        </w:tc>
      </w:tr>
      <w:tr>
        <w:trPr>
          <w:cantSplit/>
        </w:trPr>
        <w:tc>
          <w:tcPr>
            <w:tcW w:type="dxa" w:w="2088"/>
            <w:vAlign w:val="top"/>
            <w:tcMar>
              <w:top w:w="80" w:type="dxa"/>
              <w:start w:w="90" w:type="dxa"/>
              <w:bottom w:w="80" w:type="dxa"/>
              <w:end w:w="90" w:type="dxa"/>
            </w:tcMar>
            <w:shd w:fill="F3F6F8"/>
          </w:tcPr>
          <w:p>
            <w:pPr>
              <w:spacing w:after="0" w:line="240" w:lineRule="auto"/>
            </w:pPr>
            <w:r>
              <w:rPr>
                <w:sz w:val="14"/>
              </w:rPr>
              <w:t>StatsForecast</w:t>
            </w:r>
          </w:p>
        </w:tc>
        <w:tc>
          <w:tcPr>
            <w:tcW w:type="dxa" w:w="936"/>
            <w:vAlign w:val="top"/>
            <w:tcMar>
              <w:top w:w="80" w:type="dxa"/>
              <w:start w:w="90" w:type="dxa"/>
              <w:bottom w:w="80" w:type="dxa"/>
              <w:end w:w="90" w:type="dxa"/>
            </w:tcMar>
            <w:shd w:fill="F3F6F8"/>
          </w:tcPr>
          <w:p>
            <w:pPr>
              <w:spacing w:after="0" w:line="240" w:lineRule="auto"/>
            </w:pPr>
            <w:r>
              <w:rPr>
                <w:sz w:val="14"/>
              </w:rPr>
              <w:t>Python</w:t>
            </w:r>
          </w:p>
        </w:tc>
        <w:tc>
          <w:tcPr>
            <w:tcW w:type="dxa" w:w="3528"/>
            <w:vAlign w:val="top"/>
            <w:tcMar>
              <w:top w:w="80" w:type="dxa"/>
              <w:start w:w="90" w:type="dxa"/>
              <w:bottom w:w="80" w:type="dxa"/>
              <w:end w:w="90" w:type="dxa"/>
            </w:tcMar>
            <w:shd w:fill="F3F6F8"/>
          </w:tcPr>
          <w:p>
            <w:pPr>
              <w:spacing w:after="0" w:line="240" w:lineRule="auto"/>
            </w:pPr>
            <w:r>
              <w:rPr>
                <w:sz w:val="14"/>
              </w:rPr>
              <w:t>Массовые ETS/ARIMA/Theta/intermittent baselines</w:t>
            </w:r>
          </w:p>
        </w:tc>
        <w:tc>
          <w:tcPr>
            <w:tcW w:type="dxa" w:w="2232"/>
            <w:vAlign w:val="top"/>
            <w:tcMar>
              <w:top w:w="80" w:type="dxa"/>
              <w:start w:w="90" w:type="dxa"/>
              <w:bottom w:w="80" w:type="dxa"/>
              <w:end w:w="90" w:type="dxa"/>
            </w:tcMar>
            <w:shd w:fill="F3F6F8"/>
          </w:tcPr>
          <w:p>
            <w:pPr>
              <w:spacing w:after="0" w:line="240" w:lineRule="auto"/>
            </w:pPr>
            <w:r>
              <w:rPr>
                <w:sz w:val="14"/>
              </w:rPr>
              <w:t>Model/conformal intervals</w:t>
            </w:r>
          </w:p>
        </w:tc>
        <w:tc>
          <w:tcPr>
            <w:tcW w:type="dxa" w:w="1656"/>
            <w:vAlign w:val="top"/>
            <w:tcMar>
              <w:top w:w="80" w:type="dxa"/>
              <w:start w:w="90" w:type="dxa"/>
              <w:bottom w:w="80" w:type="dxa"/>
              <w:end w:w="90" w:type="dxa"/>
            </w:tcMar>
            <w:shd w:fill="F3F6F8"/>
          </w:tcPr>
          <w:p>
            <w:pPr>
              <w:spacing w:after="0" w:line="240" w:lineRule="auto"/>
            </w:pPr>
            <w:r>
              <w:rPr>
                <w:sz w:val="14"/>
              </w:rPr>
              <w:t>Apache-2.0</w:t>
            </w:r>
          </w:p>
        </w:tc>
      </w:tr>
      <w:tr>
        <w:trPr>
          <w:cantSplit/>
        </w:trPr>
        <w:tc>
          <w:tcPr>
            <w:tcW w:type="dxa" w:w="2088"/>
            <w:vAlign w:val="top"/>
            <w:tcMar>
              <w:top w:w="80" w:type="dxa"/>
              <w:start w:w="90" w:type="dxa"/>
              <w:bottom w:w="80" w:type="dxa"/>
              <w:end w:w="90" w:type="dxa"/>
            </w:tcMar>
          </w:tcPr>
          <w:p>
            <w:pPr>
              <w:spacing w:after="0" w:line="240" w:lineRule="auto"/>
            </w:pPr>
            <w:r>
              <w:rPr>
                <w:sz w:val="14"/>
              </w:rPr>
              <w:t>MLForecast</w:t>
            </w:r>
          </w:p>
        </w:tc>
        <w:tc>
          <w:tcPr>
            <w:tcW w:type="dxa" w:w="936"/>
            <w:vAlign w:val="top"/>
            <w:tcMar>
              <w:top w:w="80" w:type="dxa"/>
              <w:start w:w="90" w:type="dxa"/>
              <w:bottom w:w="80" w:type="dxa"/>
              <w:end w:w="90" w:type="dxa"/>
            </w:tcMar>
          </w:tcPr>
          <w:p>
            <w:pPr>
              <w:spacing w:after="0" w:line="240" w:lineRule="auto"/>
            </w:pPr>
            <w:r>
              <w:rPr>
                <w:sz w:val="14"/>
              </w:rPr>
              <w:t>Python</w:t>
            </w:r>
          </w:p>
        </w:tc>
        <w:tc>
          <w:tcPr>
            <w:tcW w:type="dxa" w:w="3528"/>
            <w:vAlign w:val="top"/>
            <w:tcMar>
              <w:top w:w="80" w:type="dxa"/>
              <w:start w:w="90" w:type="dxa"/>
              <w:bottom w:w="80" w:type="dxa"/>
              <w:end w:w="90" w:type="dxa"/>
            </w:tcMar>
          </w:tcPr>
          <w:p>
            <w:pPr>
              <w:spacing w:after="0" w:line="240" w:lineRule="auto"/>
            </w:pPr>
            <w:r>
              <w:rPr>
                <w:sz w:val="14"/>
              </w:rPr>
              <w:t>Lag features + LightGBM/CatBoost/XGBoost; distributed</w:t>
            </w:r>
          </w:p>
        </w:tc>
        <w:tc>
          <w:tcPr>
            <w:tcW w:type="dxa" w:w="2232"/>
            <w:vAlign w:val="top"/>
            <w:tcMar>
              <w:top w:w="80" w:type="dxa"/>
              <w:start w:w="90" w:type="dxa"/>
              <w:bottom w:w="80" w:type="dxa"/>
              <w:end w:w="90" w:type="dxa"/>
            </w:tcMar>
          </w:tcPr>
          <w:p>
            <w:pPr>
              <w:spacing w:after="0" w:line="240" w:lineRule="auto"/>
            </w:pPr>
            <w:r>
              <w:rPr>
                <w:sz w:val="14"/>
              </w:rPr>
              <w:t>Conformal prediction</w:t>
            </w:r>
          </w:p>
        </w:tc>
        <w:tc>
          <w:tcPr>
            <w:tcW w:type="dxa" w:w="1656"/>
            <w:vAlign w:val="top"/>
            <w:tcMar>
              <w:top w:w="80" w:type="dxa"/>
              <w:start w:w="90" w:type="dxa"/>
              <w:bottom w:w="80" w:type="dxa"/>
              <w:end w:w="90" w:type="dxa"/>
            </w:tcMar>
          </w:tcPr>
          <w:p>
            <w:pPr>
              <w:spacing w:after="0" w:line="240" w:lineRule="auto"/>
            </w:pPr>
            <w:r>
              <w:rPr>
                <w:sz w:val="14"/>
              </w:rPr>
              <w:t>Apache-2.0</w:t>
            </w:r>
          </w:p>
        </w:tc>
      </w:tr>
      <w:tr>
        <w:trPr>
          <w:cantSplit/>
        </w:trPr>
        <w:tc>
          <w:tcPr>
            <w:tcW w:type="dxa" w:w="2088"/>
            <w:vAlign w:val="top"/>
            <w:tcMar>
              <w:top w:w="80" w:type="dxa"/>
              <w:start w:w="90" w:type="dxa"/>
              <w:bottom w:w="80" w:type="dxa"/>
              <w:end w:w="90" w:type="dxa"/>
            </w:tcMar>
            <w:shd w:fill="F3F6F8"/>
          </w:tcPr>
          <w:p>
            <w:pPr>
              <w:spacing w:after="0" w:line="240" w:lineRule="auto"/>
            </w:pPr>
            <w:r>
              <w:rPr>
                <w:sz w:val="14"/>
              </w:rPr>
              <w:t>NeuralForecast</w:t>
            </w:r>
          </w:p>
        </w:tc>
        <w:tc>
          <w:tcPr>
            <w:tcW w:type="dxa" w:w="936"/>
            <w:vAlign w:val="top"/>
            <w:tcMar>
              <w:top w:w="80" w:type="dxa"/>
              <w:start w:w="90" w:type="dxa"/>
              <w:bottom w:w="80" w:type="dxa"/>
              <w:end w:w="90" w:type="dxa"/>
            </w:tcMar>
            <w:shd w:fill="F3F6F8"/>
          </w:tcPr>
          <w:p>
            <w:pPr>
              <w:spacing w:after="0" w:line="240" w:lineRule="auto"/>
            </w:pPr>
            <w:r>
              <w:rPr>
                <w:sz w:val="14"/>
              </w:rPr>
              <w:t>Python</w:t>
            </w:r>
          </w:p>
        </w:tc>
        <w:tc>
          <w:tcPr>
            <w:tcW w:type="dxa" w:w="3528"/>
            <w:vAlign w:val="top"/>
            <w:tcMar>
              <w:top w:w="80" w:type="dxa"/>
              <w:start w:w="90" w:type="dxa"/>
              <w:bottom w:w="80" w:type="dxa"/>
              <w:end w:w="90" w:type="dxa"/>
            </w:tcMar>
            <w:shd w:fill="F3F6F8"/>
          </w:tcPr>
          <w:p>
            <w:pPr>
              <w:spacing w:after="0" w:line="240" w:lineRule="auto"/>
            </w:pPr>
            <w:r>
              <w:rPr>
                <w:sz w:val="14"/>
              </w:rPr>
              <w:t>N-HiTS, TFT, TiDE, PatchTST, iTransformer и др.</w:t>
            </w:r>
          </w:p>
        </w:tc>
        <w:tc>
          <w:tcPr>
            <w:tcW w:type="dxa" w:w="2232"/>
            <w:vAlign w:val="top"/>
            <w:tcMar>
              <w:top w:w="80" w:type="dxa"/>
              <w:start w:w="90" w:type="dxa"/>
              <w:bottom w:w="80" w:type="dxa"/>
              <w:end w:w="90" w:type="dxa"/>
            </w:tcMar>
            <w:shd w:fill="F3F6F8"/>
          </w:tcPr>
          <w:p>
            <w:pPr>
              <w:spacing w:after="0" w:line="240" w:lineRule="auto"/>
            </w:pPr>
            <w:r>
              <w:rPr>
                <w:sz w:val="14"/>
              </w:rPr>
              <w:t>Quantile/distribution losses</w:t>
            </w:r>
          </w:p>
        </w:tc>
        <w:tc>
          <w:tcPr>
            <w:tcW w:type="dxa" w:w="1656"/>
            <w:vAlign w:val="top"/>
            <w:tcMar>
              <w:top w:w="80" w:type="dxa"/>
              <w:start w:w="90" w:type="dxa"/>
              <w:bottom w:w="80" w:type="dxa"/>
              <w:end w:w="90" w:type="dxa"/>
            </w:tcMar>
            <w:shd w:fill="F3F6F8"/>
          </w:tcPr>
          <w:p>
            <w:pPr>
              <w:spacing w:after="0" w:line="240" w:lineRule="auto"/>
            </w:pPr>
            <w:r>
              <w:rPr>
                <w:sz w:val="14"/>
              </w:rPr>
              <w:t>Apache-2.0</w:t>
            </w:r>
          </w:p>
        </w:tc>
      </w:tr>
      <w:tr>
        <w:trPr>
          <w:cantSplit/>
        </w:trPr>
        <w:tc>
          <w:tcPr>
            <w:tcW w:type="dxa" w:w="2088"/>
            <w:vAlign w:val="top"/>
            <w:tcMar>
              <w:top w:w="80" w:type="dxa"/>
              <w:start w:w="90" w:type="dxa"/>
              <w:bottom w:w="80" w:type="dxa"/>
              <w:end w:w="90" w:type="dxa"/>
            </w:tcMar>
          </w:tcPr>
          <w:p>
            <w:pPr>
              <w:spacing w:after="0" w:line="240" w:lineRule="auto"/>
            </w:pPr>
            <w:r>
              <w:rPr>
                <w:sz w:val="14"/>
              </w:rPr>
              <w:t>HierarchicalForecast</w:t>
            </w:r>
          </w:p>
        </w:tc>
        <w:tc>
          <w:tcPr>
            <w:tcW w:type="dxa" w:w="936"/>
            <w:vAlign w:val="top"/>
            <w:tcMar>
              <w:top w:w="80" w:type="dxa"/>
              <w:start w:w="90" w:type="dxa"/>
              <w:bottom w:w="80" w:type="dxa"/>
              <w:end w:w="90" w:type="dxa"/>
            </w:tcMar>
          </w:tcPr>
          <w:p>
            <w:pPr>
              <w:spacing w:after="0" w:line="240" w:lineRule="auto"/>
            </w:pPr>
            <w:r>
              <w:rPr>
                <w:sz w:val="14"/>
              </w:rPr>
              <w:t>Python</w:t>
            </w:r>
          </w:p>
        </w:tc>
        <w:tc>
          <w:tcPr>
            <w:tcW w:type="dxa" w:w="3528"/>
            <w:vAlign w:val="top"/>
            <w:tcMar>
              <w:top w:w="80" w:type="dxa"/>
              <w:start w:w="90" w:type="dxa"/>
              <w:bottom w:w="80" w:type="dxa"/>
              <w:end w:w="90" w:type="dxa"/>
            </w:tcMar>
          </w:tcPr>
          <w:p>
            <w:pPr>
              <w:spacing w:after="0" w:line="240" w:lineRule="auto"/>
            </w:pPr>
            <w:r>
              <w:rPr>
                <w:sz w:val="14"/>
              </w:rPr>
              <w:t>Bottom-up, Top-down, MinTrace, ERM, reconciliation</w:t>
            </w:r>
          </w:p>
        </w:tc>
        <w:tc>
          <w:tcPr>
            <w:tcW w:type="dxa" w:w="2232"/>
            <w:vAlign w:val="top"/>
            <w:tcMar>
              <w:top w:w="80" w:type="dxa"/>
              <w:start w:w="90" w:type="dxa"/>
              <w:bottom w:w="80" w:type="dxa"/>
              <w:end w:w="90" w:type="dxa"/>
            </w:tcMar>
          </w:tcPr>
          <w:p>
            <w:pPr>
              <w:spacing w:after="0" w:line="240" w:lineRule="auto"/>
            </w:pPr>
            <w:r>
              <w:rPr>
                <w:sz w:val="14"/>
              </w:rPr>
              <w:t>Bootstrap/PERMBU/conformal</w:t>
            </w:r>
          </w:p>
        </w:tc>
        <w:tc>
          <w:tcPr>
            <w:tcW w:type="dxa" w:w="1656"/>
            <w:vAlign w:val="top"/>
            <w:tcMar>
              <w:top w:w="80" w:type="dxa"/>
              <w:start w:w="90" w:type="dxa"/>
              <w:bottom w:w="80" w:type="dxa"/>
              <w:end w:w="90" w:type="dxa"/>
            </w:tcMar>
          </w:tcPr>
          <w:p>
            <w:pPr>
              <w:spacing w:after="0" w:line="240" w:lineRule="auto"/>
            </w:pPr>
            <w:r>
              <w:rPr>
                <w:sz w:val="14"/>
              </w:rPr>
              <w:t>Apache-2.0</w:t>
            </w:r>
          </w:p>
        </w:tc>
      </w:tr>
      <w:tr>
        <w:trPr>
          <w:cantSplit/>
        </w:trPr>
        <w:tc>
          <w:tcPr>
            <w:tcW w:type="dxa" w:w="2088"/>
            <w:vAlign w:val="top"/>
            <w:tcMar>
              <w:top w:w="80" w:type="dxa"/>
              <w:start w:w="90" w:type="dxa"/>
              <w:bottom w:w="80" w:type="dxa"/>
              <w:end w:w="90" w:type="dxa"/>
            </w:tcMar>
            <w:shd w:fill="F3F6F8"/>
          </w:tcPr>
          <w:p>
            <w:pPr>
              <w:spacing w:after="0" w:line="240" w:lineRule="auto"/>
            </w:pPr>
            <w:r>
              <w:rPr>
                <w:sz w:val="14"/>
              </w:rPr>
              <w:t>sktime</w:t>
            </w:r>
          </w:p>
        </w:tc>
        <w:tc>
          <w:tcPr>
            <w:tcW w:type="dxa" w:w="936"/>
            <w:vAlign w:val="top"/>
            <w:tcMar>
              <w:top w:w="80" w:type="dxa"/>
              <w:start w:w="90" w:type="dxa"/>
              <w:bottom w:w="80" w:type="dxa"/>
              <w:end w:w="90" w:type="dxa"/>
            </w:tcMar>
            <w:shd w:fill="F3F6F8"/>
          </w:tcPr>
          <w:p>
            <w:pPr>
              <w:spacing w:after="0" w:line="240" w:lineRule="auto"/>
            </w:pPr>
            <w:r>
              <w:rPr>
                <w:sz w:val="14"/>
              </w:rPr>
              <w:t>Python</w:t>
            </w:r>
          </w:p>
        </w:tc>
        <w:tc>
          <w:tcPr>
            <w:tcW w:type="dxa" w:w="3528"/>
            <w:vAlign w:val="top"/>
            <w:tcMar>
              <w:top w:w="80" w:type="dxa"/>
              <w:start w:w="90" w:type="dxa"/>
              <w:bottom w:w="80" w:type="dxa"/>
              <w:end w:w="90" w:type="dxa"/>
            </w:tcMar>
            <w:shd w:fill="F3F6F8"/>
          </w:tcPr>
          <w:p>
            <w:pPr>
              <w:spacing w:after="0" w:line="240" w:lineRule="auto"/>
            </w:pPr>
            <w:r>
              <w:rPr>
                <w:sz w:val="14"/>
              </w:rPr>
              <w:t>Unified API, composition, probabilistic forecasting</w:t>
            </w:r>
          </w:p>
        </w:tc>
        <w:tc>
          <w:tcPr>
            <w:tcW w:type="dxa" w:w="2232"/>
            <w:vAlign w:val="top"/>
            <w:tcMar>
              <w:top w:w="80" w:type="dxa"/>
              <w:start w:w="90" w:type="dxa"/>
              <w:bottom w:w="80" w:type="dxa"/>
              <w:end w:w="90" w:type="dxa"/>
            </w:tcMar>
            <w:shd w:fill="F3F6F8"/>
          </w:tcPr>
          <w:p>
            <w:pPr>
              <w:spacing w:after="0" w:line="240" w:lineRule="auto"/>
            </w:pPr>
            <w:r>
              <w:rPr>
                <w:sz w:val="14"/>
              </w:rPr>
              <w:t>Intervals/distributions</w:t>
            </w:r>
          </w:p>
        </w:tc>
        <w:tc>
          <w:tcPr>
            <w:tcW w:type="dxa" w:w="1656"/>
            <w:vAlign w:val="top"/>
            <w:tcMar>
              <w:top w:w="80" w:type="dxa"/>
              <w:start w:w="90" w:type="dxa"/>
              <w:bottom w:w="80" w:type="dxa"/>
              <w:end w:w="90" w:type="dxa"/>
            </w:tcMar>
            <w:shd w:fill="F3F6F8"/>
          </w:tcPr>
          <w:p>
            <w:pPr>
              <w:spacing w:after="0" w:line="240" w:lineRule="auto"/>
            </w:pPr>
            <w:r>
              <w:rPr>
                <w:sz w:val="14"/>
              </w:rPr>
              <w:t>BSD-3-Clause</w:t>
            </w:r>
          </w:p>
        </w:tc>
      </w:tr>
      <w:tr>
        <w:trPr>
          <w:cantSplit/>
        </w:trPr>
        <w:tc>
          <w:tcPr>
            <w:tcW w:type="dxa" w:w="2088"/>
            <w:vAlign w:val="top"/>
            <w:tcMar>
              <w:top w:w="80" w:type="dxa"/>
              <w:start w:w="90" w:type="dxa"/>
              <w:bottom w:w="80" w:type="dxa"/>
              <w:end w:w="90" w:type="dxa"/>
            </w:tcMar>
          </w:tcPr>
          <w:p>
            <w:pPr>
              <w:spacing w:after="0" w:line="240" w:lineRule="auto"/>
            </w:pPr>
            <w:r>
              <w:rPr>
                <w:sz w:val="14"/>
              </w:rPr>
              <w:t>Darts</w:t>
            </w:r>
          </w:p>
        </w:tc>
        <w:tc>
          <w:tcPr>
            <w:tcW w:type="dxa" w:w="936"/>
            <w:vAlign w:val="top"/>
            <w:tcMar>
              <w:top w:w="80" w:type="dxa"/>
              <w:start w:w="90" w:type="dxa"/>
              <w:bottom w:w="80" w:type="dxa"/>
              <w:end w:w="90" w:type="dxa"/>
            </w:tcMar>
          </w:tcPr>
          <w:p>
            <w:pPr>
              <w:spacing w:after="0" w:line="240" w:lineRule="auto"/>
            </w:pPr>
            <w:r>
              <w:rPr>
                <w:sz w:val="14"/>
              </w:rPr>
              <w:t>Python</w:t>
            </w:r>
          </w:p>
        </w:tc>
        <w:tc>
          <w:tcPr>
            <w:tcW w:type="dxa" w:w="3528"/>
            <w:vAlign w:val="top"/>
            <w:tcMar>
              <w:top w:w="80" w:type="dxa"/>
              <w:start w:w="90" w:type="dxa"/>
              <w:bottom w:w="80" w:type="dxa"/>
              <w:end w:w="90" w:type="dxa"/>
            </w:tcMar>
          </w:tcPr>
          <w:p>
            <w:pPr>
              <w:spacing w:after="0" w:line="240" w:lineRule="auto"/>
            </w:pPr>
            <w:r>
              <w:rPr>
                <w:sz w:val="14"/>
              </w:rPr>
              <w:t>Удобный research API, covariates, deep/global models</w:t>
            </w:r>
          </w:p>
        </w:tc>
        <w:tc>
          <w:tcPr>
            <w:tcW w:type="dxa" w:w="2232"/>
            <w:vAlign w:val="top"/>
            <w:tcMar>
              <w:top w:w="80" w:type="dxa"/>
              <w:start w:w="90" w:type="dxa"/>
              <w:bottom w:w="80" w:type="dxa"/>
              <w:end w:w="90" w:type="dxa"/>
            </w:tcMar>
          </w:tcPr>
          <w:p>
            <w:pPr>
              <w:spacing w:after="0" w:line="240" w:lineRule="auto"/>
            </w:pPr>
            <w:r>
              <w:rPr>
                <w:sz w:val="14"/>
              </w:rPr>
              <w:t>Probabilistic models</w:t>
            </w:r>
          </w:p>
        </w:tc>
        <w:tc>
          <w:tcPr>
            <w:tcW w:type="dxa" w:w="1656"/>
            <w:vAlign w:val="top"/>
            <w:tcMar>
              <w:top w:w="80" w:type="dxa"/>
              <w:start w:w="90" w:type="dxa"/>
              <w:bottom w:w="80" w:type="dxa"/>
              <w:end w:w="90" w:type="dxa"/>
            </w:tcMar>
          </w:tcPr>
          <w:p>
            <w:pPr>
              <w:spacing w:after="0" w:line="240" w:lineRule="auto"/>
            </w:pPr>
            <w:r>
              <w:rPr>
                <w:sz w:val="14"/>
              </w:rPr>
              <w:t>Apache-2.0</w:t>
            </w:r>
          </w:p>
        </w:tc>
      </w:tr>
      <w:tr>
        <w:trPr>
          <w:cantSplit/>
        </w:trPr>
        <w:tc>
          <w:tcPr>
            <w:tcW w:type="dxa" w:w="2088"/>
            <w:vAlign w:val="top"/>
            <w:tcMar>
              <w:top w:w="80" w:type="dxa"/>
              <w:start w:w="90" w:type="dxa"/>
              <w:bottom w:w="80" w:type="dxa"/>
              <w:end w:w="90" w:type="dxa"/>
            </w:tcMar>
            <w:shd w:fill="F3F6F8"/>
          </w:tcPr>
          <w:p>
            <w:pPr>
              <w:spacing w:after="0" w:line="240" w:lineRule="auto"/>
            </w:pPr>
            <w:r>
              <w:rPr>
                <w:sz w:val="14"/>
              </w:rPr>
              <w:t>MAPIE</w:t>
            </w:r>
          </w:p>
        </w:tc>
        <w:tc>
          <w:tcPr>
            <w:tcW w:type="dxa" w:w="936"/>
            <w:vAlign w:val="top"/>
            <w:tcMar>
              <w:top w:w="80" w:type="dxa"/>
              <w:start w:w="90" w:type="dxa"/>
              <w:bottom w:w="80" w:type="dxa"/>
              <w:end w:w="90" w:type="dxa"/>
            </w:tcMar>
            <w:shd w:fill="F3F6F8"/>
          </w:tcPr>
          <w:p>
            <w:pPr>
              <w:spacing w:after="0" w:line="240" w:lineRule="auto"/>
            </w:pPr>
            <w:r>
              <w:rPr>
                <w:sz w:val="14"/>
              </w:rPr>
              <w:t>Python</w:t>
            </w:r>
          </w:p>
        </w:tc>
        <w:tc>
          <w:tcPr>
            <w:tcW w:type="dxa" w:w="3528"/>
            <w:vAlign w:val="top"/>
            <w:tcMar>
              <w:top w:w="80" w:type="dxa"/>
              <w:start w:w="90" w:type="dxa"/>
              <w:bottom w:w="80" w:type="dxa"/>
              <w:end w:w="90" w:type="dxa"/>
            </w:tcMar>
            <w:shd w:fill="F3F6F8"/>
          </w:tcPr>
          <w:p>
            <w:pPr>
              <w:spacing w:after="0" w:line="240" w:lineRule="auto"/>
            </w:pPr>
            <w:r>
              <w:rPr>
                <w:sz w:val="14"/>
              </w:rPr>
              <w:t>Post-hoc conformal calibration</w:t>
            </w:r>
          </w:p>
        </w:tc>
        <w:tc>
          <w:tcPr>
            <w:tcW w:type="dxa" w:w="2232"/>
            <w:vAlign w:val="top"/>
            <w:tcMar>
              <w:top w:w="80" w:type="dxa"/>
              <w:start w:w="90" w:type="dxa"/>
              <w:bottom w:w="80" w:type="dxa"/>
              <w:end w:w="90" w:type="dxa"/>
            </w:tcMar>
            <w:shd w:fill="F3F6F8"/>
          </w:tcPr>
          <w:p>
            <w:pPr>
              <w:spacing w:after="0" w:line="240" w:lineRule="auto"/>
            </w:pPr>
            <w:r>
              <w:rPr>
                <w:sz w:val="14"/>
              </w:rPr>
              <w:t>EnbPI/ACI-like workflows</w:t>
            </w:r>
          </w:p>
        </w:tc>
        <w:tc>
          <w:tcPr>
            <w:tcW w:type="dxa" w:w="1656"/>
            <w:vAlign w:val="top"/>
            <w:tcMar>
              <w:top w:w="80" w:type="dxa"/>
              <w:start w:w="90" w:type="dxa"/>
              <w:bottom w:w="80" w:type="dxa"/>
              <w:end w:w="90" w:type="dxa"/>
            </w:tcMar>
            <w:shd w:fill="F3F6F8"/>
          </w:tcPr>
          <w:p>
            <w:pPr>
              <w:spacing w:after="0" w:line="240" w:lineRule="auto"/>
            </w:pPr>
            <w:r>
              <w:rPr>
                <w:sz w:val="14"/>
              </w:rPr>
              <w:t>BSD-3-Clause</w:t>
            </w:r>
          </w:p>
        </w:tc>
      </w:tr>
      <w:tr>
        <w:trPr>
          <w:cantSplit/>
        </w:trPr>
        <w:tc>
          <w:tcPr>
            <w:tcW w:type="dxa" w:w="2088"/>
            <w:vAlign w:val="top"/>
            <w:tcMar>
              <w:top w:w="80" w:type="dxa"/>
              <w:start w:w="90" w:type="dxa"/>
              <w:bottom w:w="80" w:type="dxa"/>
              <w:end w:w="90" w:type="dxa"/>
            </w:tcMar>
          </w:tcPr>
          <w:p>
            <w:pPr>
              <w:spacing w:after="0" w:line="240" w:lineRule="auto"/>
            </w:pPr>
            <w:r>
              <w:rPr>
                <w:sz w:val="14"/>
              </w:rPr>
              <w:t>fable</w:t>
            </w:r>
          </w:p>
        </w:tc>
        <w:tc>
          <w:tcPr>
            <w:tcW w:type="dxa" w:w="936"/>
            <w:vAlign w:val="top"/>
            <w:tcMar>
              <w:top w:w="80" w:type="dxa"/>
              <w:start w:w="90" w:type="dxa"/>
              <w:bottom w:w="80" w:type="dxa"/>
              <w:end w:w="90" w:type="dxa"/>
            </w:tcMar>
          </w:tcPr>
          <w:p>
            <w:pPr>
              <w:spacing w:after="0" w:line="240" w:lineRule="auto"/>
            </w:pPr>
            <w:r>
              <w:rPr>
                <w:sz w:val="14"/>
              </w:rPr>
              <w:t>R</w:t>
            </w:r>
          </w:p>
        </w:tc>
        <w:tc>
          <w:tcPr>
            <w:tcW w:type="dxa" w:w="3528"/>
            <w:vAlign w:val="top"/>
            <w:tcMar>
              <w:top w:w="80" w:type="dxa"/>
              <w:start w:w="90" w:type="dxa"/>
              <w:bottom w:w="80" w:type="dxa"/>
              <w:end w:w="90" w:type="dxa"/>
            </w:tcMar>
          </w:tcPr>
          <w:p>
            <w:pPr>
              <w:spacing w:after="0" w:line="240" w:lineRule="auto"/>
            </w:pPr>
            <w:r>
              <w:rPr>
                <w:sz w:val="14"/>
              </w:rPr>
              <w:t>Tidy statistical forecasting and combinations</w:t>
            </w:r>
          </w:p>
        </w:tc>
        <w:tc>
          <w:tcPr>
            <w:tcW w:type="dxa" w:w="2232"/>
            <w:vAlign w:val="top"/>
            <w:tcMar>
              <w:top w:w="80" w:type="dxa"/>
              <w:start w:w="90" w:type="dxa"/>
              <w:bottom w:w="80" w:type="dxa"/>
              <w:end w:w="90" w:type="dxa"/>
            </w:tcMar>
          </w:tcPr>
          <w:p>
            <w:pPr>
              <w:spacing w:after="0" w:line="240" w:lineRule="auto"/>
            </w:pPr>
            <w:r>
              <w:rPr>
                <w:sz w:val="14"/>
              </w:rPr>
              <w:t>Distributional forecasts</w:t>
            </w:r>
          </w:p>
        </w:tc>
        <w:tc>
          <w:tcPr>
            <w:tcW w:type="dxa" w:w="1656"/>
            <w:vAlign w:val="top"/>
            <w:tcMar>
              <w:top w:w="80" w:type="dxa"/>
              <w:start w:w="90" w:type="dxa"/>
              <w:bottom w:w="80" w:type="dxa"/>
              <w:end w:w="90" w:type="dxa"/>
            </w:tcMar>
          </w:tcPr>
          <w:p>
            <w:pPr>
              <w:spacing w:after="0" w:line="240" w:lineRule="auto"/>
            </w:pPr>
            <w:r>
              <w:rPr>
                <w:sz w:val="14"/>
              </w:rPr>
              <w:t>GPL-3</w:t>
            </w:r>
          </w:p>
        </w:tc>
      </w:tr>
      <w:tr>
        <w:trPr>
          <w:cantSplit/>
        </w:trPr>
        <w:tc>
          <w:tcPr>
            <w:tcW w:type="dxa" w:w="2088"/>
            <w:vAlign w:val="top"/>
            <w:tcMar>
              <w:top w:w="80" w:type="dxa"/>
              <w:start w:w="90" w:type="dxa"/>
              <w:bottom w:w="80" w:type="dxa"/>
              <w:end w:w="90" w:type="dxa"/>
            </w:tcMar>
            <w:shd w:fill="F3F6F8"/>
          </w:tcPr>
          <w:p>
            <w:pPr>
              <w:spacing w:after="0" w:line="240" w:lineRule="auto"/>
            </w:pPr>
            <w:r>
              <w:rPr>
                <w:sz w:val="14"/>
              </w:rPr>
              <w:t>forecast</w:t>
            </w:r>
          </w:p>
        </w:tc>
        <w:tc>
          <w:tcPr>
            <w:tcW w:type="dxa" w:w="936"/>
            <w:vAlign w:val="top"/>
            <w:tcMar>
              <w:top w:w="80" w:type="dxa"/>
              <w:start w:w="90" w:type="dxa"/>
              <w:bottom w:w="80" w:type="dxa"/>
              <w:end w:w="90" w:type="dxa"/>
            </w:tcMar>
            <w:shd w:fill="F3F6F8"/>
          </w:tcPr>
          <w:p>
            <w:pPr>
              <w:spacing w:after="0" w:line="240" w:lineRule="auto"/>
            </w:pPr>
            <w:r>
              <w:rPr>
                <w:sz w:val="14"/>
              </w:rPr>
              <w:t>R</w:t>
            </w:r>
          </w:p>
        </w:tc>
        <w:tc>
          <w:tcPr>
            <w:tcW w:type="dxa" w:w="3528"/>
            <w:vAlign w:val="top"/>
            <w:tcMar>
              <w:top w:w="80" w:type="dxa"/>
              <w:start w:w="90" w:type="dxa"/>
              <w:bottom w:w="80" w:type="dxa"/>
              <w:end w:w="90" w:type="dxa"/>
            </w:tcMar>
            <w:shd w:fill="F3F6F8"/>
          </w:tcPr>
          <w:p>
            <w:pPr>
              <w:spacing w:after="0" w:line="240" w:lineRule="auto"/>
            </w:pPr>
            <w:r>
              <w:rPr>
                <w:sz w:val="14"/>
              </w:rPr>
              <w:t>Зрелые classical models и diagnostics</w:t>
            </w:r>
          </w:p>
        </w:tc>
        <w:tc>
          <w:tcPr>
            <w:tcW w:type="dxa" w:w="2232"/>
            <w:vAlign w:val="top"/>
            <w:tcMar>
              <w:top w:w="80" w:type="dxa"/>
              <w:start w:w="90" w:type="dxa"/>
              <w:bottom w:w="80" w:type="dxa"/>
              <w:end w:w="90" w:type="dxa"/>
            </w:tcMar>
            <w:shd w:fill="F3F6F8"/>
          </w:tcPr>
          <w:p>
            <w:pPr>
              <w:spacing w:after="0" w:line="240" w:lineRule="auto"/>
            </w:pPr>
            <w:r>
              <w:rPr>
                <w:sz w:val="14"/>
              </w:rPr>
              <w:t>Prediction intervals</w:t>
            </w:r>
          </w:p>
        </w:tc>
        <w:tc>
          <w:tcPr>
            <w:tcW w:type="dxa" w:w="1656"/>
            <w:vAlign w:val="top"/>
            <w:tcMar>
              <w:top w:w="80" w:type="dxa"/>
              <w:start w:w="90" w:type="dxa"/>
              <w:bottom w:w="80" w:type="dxa"/>
              <w:end w:w="90" w:type="dxa"/>
            </w:tcMar>
            <w:shd w:fill="F3F6F8"/>
          </w:tcPr>
          <w:p>
            <w:pPr>
              <w:spacing w:after="0" w:line="240" w:lineRule="auto"/>
            </w:pPr>
            <w:r>
              <w:rPr>
                <w:sz w:val="14"/>
              </w:rPr>
              <w:t>GPL-3</w:t>
            </w:r>
          </w:p>
        </w:tc>
      </w:tr>
      <w:tr>
        <w:trPr>
          <w:cantSplit/>
        </w:trPr>
        <w:tc>
          <w:tcPr>
            <w:tcW w:type="dxa" w:w="2088"/>
            <w:vAlign w:val="top"/>
            <w:tcMar>
              <w:top w:w="80" w:type="dxa"/>
              <w:start w:w="90" w:type="dxa"/>
              <w:bottom w:w="80" w:type="dxa"/>
              <w:end w:w="90" w:type="dxa"/>
            </w:tcMar>
          </w:tcPr>
          <w:p>
            <w:pPr>
              <w:spacing w:after="0" w:line="240" w:lineRule="auto"/>
            </w:pPr>
            <w:r>
              <w:rPr>
                <w:sz w:val="14"/>
              </w:rPr>
              <w:t>modeltime</w:t>
            </w:r>
          </w:p>
        </w:tc>
        <w:tc>
          <w:tcPr>
            <w:tcW w:type="dxa" w:w="936"/>
            <w:vAlign w:val="top"/>
            <w:tcMar>
              <w:top w:w="80" w:type="dxa"/>
              <w:start w:w="90" w:type="dxa"/>
              <w:bottom w:w="80" w:type="dxa"/>
              <w:end w:w="90" w:type="dxa"/>
            </w:tcMar>
          </w:tcPr>
          <w:p>
            <w:pPr>
              <w:spacing w:after="0" w:line="240" w:lineRule="auto"/>
            </w:pPr>
            <w:r>
              <w:rPr>
                <w:sz w:val="14"/>
              </w:rPr>
              <w:t>R</w:t>
            </w:r>
          </w:p>
        </w:tc>
        <w:tc>
          <w:tcPr>
            <w:tcW w:type="dxa" w:w="3528"/>
            <w:vAlign w:val="top"/>
            <w:tcMar>
              <w:top w:w="80" w:type="dxa"/>
              <w:start w:w="90" w:type="dxa"/>
              <w:bottom w:w="80" w:type="dxa"/>
              <w:end w:w="90" w:type="dxa"/>
            </w:tcMar>
          </w:tcPr>
          <w:p>
            <w:pPr>
              <w:spacing w:after="0" w:line="240" w:lineRule="auto"/>
            </w:pPr>
            <w:r>
              <w:rPr>
                <w:sz w:val="14"/>
              </w:rPr>
              <w:t>Tidymodels ensembles, resampling, business pipelines</w:t>
            </w:r>
          </w:p>
        </w:tc>
        <w:tc>
          <w:tcPr>
            <w:tcW w:type="dxa" w:w="2232"/>
            <w:vAlign w:val="top"/>
            <w:tcMar>
              <w:top w:w="80" w:type="dxa"/>
              <w:start w:w="90" w:type="dxa"/>
              <w:bottom w:w="80" w:type="dxa"/>
              <w:end w:w="90" w:type="dxa"/>
            </w:tcMar>
          </w:tcPr>
          <w:p>
            <w:pPr>
              <w:spacing w:after="0" w:line="240" w:lineRule="auto"/>
            </w:pPr>
            <w:r>
              <w:rPr>
                <w:sz w:val="14"/>
              </w:rPr>
              <w:t>Conformal intervals</w:t>
            </w:r>
          </w:p>
        </w:tc>
        <w:tc>
          <w:tcPr>
            <w:tcW w:type="dxa" w:w="1656"/>
            <w:vAlign w:val="top"/>
            <w:tcMar>
              <w:top w:w="80" w:type="dxa"/>
              <w:start w:w="90" w:type="dxa"/>
              <w:bottom w:w="80" w:type="dxa"/>
              <w:end w:w="90" w:type="dxa"/>
            </w:tcMar>
          </w:tcPr>
          <w:p>
            <w:pPr>
              <w:spacing w:after="0" w:line="240" w:lineRule="auto"/>
            </w:pPr>
            <w:r>
              <w:rPr>
                <w:sz w:val="14"/>
              </w:rPr>
              <w:t>MIT</w:t>
            </w:r>
          </w:p>
        </w:tc>
      </w:tr>
      <w:tr>
        <w:trPr>
          <w:cantSplit/>
        </w:trPr>
        <w:tc>
          <w:tcPr>
            <w:tcW w:type="dxa" w:w="2088"/>
            <w:vAlign w:val="top"/>
            <w:tcMar>
              <w:top w:w="80" w:type="dxa"/>
              <w:start w:w="90" w:type="dxa"/>
              <w:bottom w:w="80" w:type="dxa"/>
              <w:end w:w="90" w:type="dxa"/>
            </w:tcMar>
            <w:shd w:fill="F3F6F8"/>
          </w:tcPr>
          <w:p>
            <w:pPr>
              <w:spacing w:after="0" w:line="240" w:lineRule="auto"/>
            </w:pPr>
            <w:r>
              <w:rPr>
                <w:sz w:val="14"/>
              </w:rPr>
              <w:t>distributional</w:t>
            </w:r>
          </w:p>
        </w:tc>
        <w:tc>
          <w:tcPr>
            <w:tcW w:type="dxa" w:w="936"/>
            <w:vAlign w:val="top"/>
            <w:tcMar>
              <w:top w:w="80" w:type="dxa"/>
              <w:start w:w="90" w:type="dxa"/>
              <w:bottom w:w="80" w:type="dxa"/>
              <w:end w:w="90" w:type="dxa"/>
            </w:tcMar>
            <w:shd w:fill="F3F6F8"/>
          </w:tcPr>
          <w:p>
            <w:pPr>
              <w:spacing w:after="0" w:line="240" w:lineRule="auto"/>
            </w:pPr>
            <w:r>
              <w:rPr>
                <w:sz w:val="14"/>
              </w:rPr>
              <w:t>R</w:t>
            </w:r>
          </w:p>
        </w:tc>
        <w:tc>
          <w:tcPr>
            <w:tcW w:type="dxa" w:w="3528"/>
            <w:vAlign w:val="top"/>
            <w:tcMar>
              <w:top w:w="80" w:type="dxa"/>
              <w:start w:w="90" w:type="dxa"/>
              <w:bottom w:w="80" w:type="dxa"/>
              <w:end w:w="90" w:type="dxa"/>
            </w:tcMar>
            <w:shd w:fill="F3F6F8"/>
          </w:tcPr>
          <w:p>
            <w:pPr>
              <w:spacing w:after="0" w:line="240" w:lineRule="auto"/>
            </w:pPr>
            <w:r>
              <w:rPr>
                <w:sz w:val="14"/>
              </w:rPr>
              <w:t>Представление и операции над predictive distributions</w:t>
            </w:r>
          </w:p>
        </w:tc>
        <w:tc>
          <w:tcPr>
            <w:tcW w:type="dxa" w:w="2232"/>
            <w:vAlign w:val="top"/>
            <w:tcMar>
              <w:top w:w="80" w:type="dxa"/>
              <w:start w:w="90" w:type="dxa"/>
              <w:bottom w:w="80" w:type="dxa"/>
              <w:end w:w="90" w:type="dxa"/>
            </w:tcMar>
            <w:shd w:fill="F3F6F8"/>
          </w:tcPr>
          <w:p>
            <w:pPr>
              <w:spacing w:after="0" w:line="240" w:lineRule="auto"/>
            </w:pPr>
            <w:r>
              <w:rPr>
                <w:sz w:val="14"/>
              </w:rPr>
              <w:t>Quantiles / hilo</w:t>
            </w:r>
          </w:p>
        </w:tc>
        <w:tc>
          <w:tcPr>
            <w:tcW w:type="dxa" w:w="1656"/>
            <w:vAlign w:val="top"/>
            <w:tcMar>
              <w:top w:w="80" w:type="dxa"/>
              <w:start w:w="90" w:type="dxa"/>
              <w:bottom w:w="80" w:type="dxa"/>
              <w:end w:w="90" w:type="dxa"/>
            </w:tcMar>
            <w:shd w:fill="F3F6F8"/>
          </w:tcPr>
          <w:p>
            <w:pPr>
              <w:spacing w:after="0" w:line="240" w:lineRule="auto"/>
            </w:pPr>
            <w:r>
              <w:rPr>
                <w:sz w:val="14"/>
              </w:rPr>
              <w:t>GPL-3</w:t>
            </w:r>
          </w:p>
        </w:tc>
      </w:tr>
    </w:tbl>
    <w:p>
      <w:pPr>
        <w:spacing w:after="0"/>
      </w:pPr>
    </w:p>
    <w:p>
      <w:pPr>
        <w:widowControl/>
      </w:pPr>
      <w:r>
        <w:t>AutoGluon 1.6 объединяет локальные модели, deep forecasting и актуальные pretrained candidates, включая Chronos-2 и Toto 2.0, а затем строит weighted ensemble. Это наиболее быстрый путь к сильному baseline без ручной стандартизации API.</w:t>
      </w:r>
      <w:r>
        <w:footnoteReference w:id="24"/>
      </w:r>
    </w:p>
    <w:p>
      <w:pPr>
        <w:widowControl/>
      </w:pPr>
      <w:r>
        <w:t>MLForecast масштабирует lag/rolling features и scikit-learn-совместимые модели на pandas, Polars, Spark, Dask и Ray; встроенный conformal layer полезен для унификации интервалов поверх point models. HierarchicalForecast добавляет согласование прогнозов и вероятностные методы для иерархий.</w:t>
      </w:r>
      <w:r>
        <w:footnoteReference w:id="26"/>
      </w:r>
      <w:r>
        <w:footnoteReference w:id="25"/>
      </w:r>
    </w:p>
    <w:p>
      <w:pPr>
        <w:widowControl/>
      </w:pPr>
      <w:r>
        <w:t>sktime предоставляет единый интерфейс для сотен методов, композицию pipelines и probabilistic predictions; это удобно для исследовательского harness, где важнее сопоставимость контрактов, чем единый AutoML ranking.</w:t>
      </w:r>
      <w:r>
        <w:footnoteReference w:id="27"/>
      </w:r>
    </w:p>
    <w:p>
      <w:pPr>
        <w:widowControl/>
      </w:pPr>
      <w:r>
        <w:t>Для R-проекта практичный стек: fable/forecast для статистики, modeltime для tidymodels и ансамблей, distributional для единого объекта predictive distribution. modeltime отдельно поддерживает resampling и conformal intervals.</w:t>
      </w:r>
      <w:r>
        <w:footnoteReference w:id="31"/>
      </w:r>
      <w:r>
        <w:footnoteReference w:id="30"/>
      </w:r>
      <w:r>
        <w:footnoteReference w:id="29"/>
      </w:r>
      <w:r>
        <w:footnoteReference w:id="28"/>
      </w:r>
    </w:p>
    <w:p>
      <w:pPr>
        <w:pStyle w:val="Heading1"/>
      </w:pPr>
      <w:r>
        <w:t>6. Как системно повысить точность</w:t>
      </w:r>
    </w:p>
    <w:p>
      <w:pPr>
        <w:widowControl/>
      </w:pPr>
      <w:r>
        <w:t>Порядок ниже отражает обычно наблюдаемую отдачу. Улучшение data contract и validation часто превосходит замену одной нейросети на другую.</w:t>
      </w:r>
    </w:p>
    <w:tbl>
      <w:tblPr>
        <w:tblStyle w:val="TableGrid"/>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792"/>
            <w:shd w:fill="16324F"/>
            <w:vAlign w:val="center"/>
            <w:tcMar>
              <w:top w:w="80" w:type="dxa"/>
              <w:start w:w="90" w:type="dxa"/>
              <w:bottom w:w="80" w:type="dxa"/>
              <w:end w:w="90" w:type="dxa"/>
            </w:tcMar>
          </w:tcPr>
          <w:p>
            <w:pPr>
              <w:spacing w:after="0"/>
            </w:pPr>
            <w:r>
              <w:rPr>
                <w:b/>
                <w:color w:val="FFFFFF"/>
                <w:sz w:val="15"/>
              </w:rPr>
              <w:t>Приоритет</w:t>
            </w:r>
          </w:p>
        </w:tc>
        <w:tc>
          <w:tcPr>
            <w:tcW w:type="dxa" w:w="2376"/>
            <w:shd w:fill="16324F"/>
            <w:vAlign w:val="center"/>
            <w:tcMar>
              <w:top w:w="80" w:type="dxa"/>
              <w:start w:w="90" w:type="dxa"/>
              <w:bottom w:w="80" w:type="dxa"/>
              <w:end w:w="90" w:type="dxa"/>
            </w:tcMar>
          </w:tcPr>
          <w:p>
            <w:pPr>
              <w:spacing w:after="0"/>
            </w:pPr>
            <w:r>
              <w:rPr>
                <w:b/>
                <w:color w:val="FFFFFF"/>
                <w:sz w:val="15"/>
              </w:rPr>
              <w:t>Действие</w:t>
            </w:r>
          </w:p>
        </w:tc>
        <w:tc>
          <w:tcPr>
            <w:tcW w:type="dxa" w:w="3672"/>
            <w:shd w:fill="16324F"/>
            <w:vAlign w:val="center"/>
            <w:tcMar>
              <w:top w:w="80" w:type="dxa"/>
              <w:start w:w="90" w:type="dxa"/>
              <w:bottom w:w="80" w:type="dxa"/>
              <w:end w:w="90" w:type="dxa"/>
            </w:tcMar>
          </w:tcPr>
          <w:p>
            <w:pPr>
              <w:spacing w:after="0"/>
            </w:pPr>
            <w:r>
              <w:rPr>
                <w:b/>
                <w:color w:val="FFFFFF"/>
                <w:sz w:val="15"/>
              </w:rPr>
              <w:t>Механизм</w:t>
            </w:r>
          </w:p>
        </w:tc>
        <w:tc>
          <w:tcPr>
            <w:tcW w:type="dxa" w:w="3672"/>
            <w:shd w:fill="16324F"/>
            <w:vAlign w:val="center"/>
            <w:tcMar>
              <w:top w:w="80" w:type="dxa"/>
              <w:start w:w="90" w:type="dxa"/>
              <w:bottom w:w="80" w:type="dxa"/>
              <w:end w:w="90" w:type="dxa"/>
            </w:tcMar>
          </w:tcPr>
          <w:p>
            <w:pPr>
              <w:spacing w:after="0"/>
            </w:pPr>
            <w:r>
              <w:rPr>
                <w:b/>
                <w:color w:val="FFFFFF"/>
                <w:sz w:val="15"/>
              </w:rPr>
              <w:t>Контроль</w:t>
            </w:r>
          </w:p>
        </w:tc>
      </w:tr>
      <w:tr>
        <w:trPr>
          <w:cantSplit/>
        </w:trPr>
        <w:tc>
          <w:tcPr>
            <w:tcW w:type="dxa" w:w="792"/>
            <w:vAlign w:val="top"/>
            <w:tcMar>
              <w:top w:w="80" w:type="dxa"/>
              <w:start w:w="90" w:type="dxa"/>
              <w:bottom w:w="80" w:type="dxa"/>
              <w:end w:w="90" w:type="dxa"/>
            </w:tcMar>
          </w:tcPr>
          <w:p>
            <w:pPr>
              <w:spacing w:after="0" w:line="240" w:lineRule="auto"/>
            </w:pPr>
            <w:r>
              <w:rPr>
                <w:sz w:val="15"/>
              </w:rPr>
              <w:t>P0</w:t>
            </w:r>
          </w:p>
        </w:tc>
        <w:tc>
          <w:tcPr>
            <w:tcW w:type="dxa" w:w="2376"/>
            <w:vAlign w:val="top"/>
            <w:tcMar>
              <w:top w:w="80" w:type="dxa"/>
              <w:start w:w="90" w:type="dxa"/>
              <w:bottom w:w="80" w:type="dxa"/>
              <w:end w:w="90" w:type="dxa"/>
            </w:tcMar>
          </w:tcPr>
          <w:p>
            <w:pPr>
              <w:spacing w:after="0" w:line="240" w:lineRule="auto"/>
            </w:pPr>
            <w:r>
              <w:rPr>
                <w:sz w:val="15"/>
              </w:rPr>
              <w:t>Исправить временную семантику</w:t>
            </w:r>
          </w:p>
        </w:tc>
        <w:tc>
          <w:tcPr>
            <w:tcW w:type="dxa" w:w="3672"/>
            <w:vAlign w:val="top"/>
            <w:tcMar>
              <w:top w:w="80" w:type="dxa"/>
              <w:start w:w="90" w:type="dxa"/>
              <w:bottom w:w="80" w:type="dxa"/>
              <w:end w:w="90" w:type="dxa"/>
            </w:tcMar>
          </w:tcPr>
          <w:p>
            <w:pPr>
              <w:spacing w:after="0" w:line="240" w:lineRule="auto"/>
            </w:pPr>
            <w:r>
              <w:rPr>
                <w:sz w:val="15"/>
              </w:rPr>
              <w:t>Правильные cutoff, timezone, delays, revisions, missingness</w:t>
            </w:r>
          </w:p>
        </w:tc>
        <w:tc>
          <w:tcPr>
            <w:tcW w:type="dxa" w:w="3672"/>
            <w:vAlign w:val="top"/>
            <w:tcMar>
              <w:top w:w="80" w:type="dxa"/>
              <w:start w:w="90" w:type="dxa"/>
              <w:bottom w:w="80" w:type="dxa"/>
              <w:end w:w="90" w:type="dxa"/>
            </w:tcMar>
          </w:tcPr>
          <w:p>
            <w:pPr>
              <w:spacing w:after="0" w:line="240" w:lineRule="auto"/>
            </w:pPr>
            <w:r>
              <w:rPr>
                <w:sz w:val="15"/>
              </w:rPr>
              <w:t>Leakage tests; point-in-time joins</w:t>
            </w:r>
          </w:p>
        </w:tc>
      </w:tr>
      <w:tr>
        <w:trPr>
          <w:cantSplit/>
        </w:trPr>
        <w:tc>
          <w:tcPr>
            <w:tcW w:type="dxa" w:w="792"/>
            <w:vAlign w:val="top"/>
            <w:tcMar>
              <w:top w:w="80" w:type="dxa"/>
              <w:start w:w="90" w:type="dxa"/>
              <w:bottom w:w="80" w:type="dxa"/>
              <w:end w:w="90" w:type="dxa"/>
            </w:tcMar>
            <w:shd w:fill="F3F6F8"/>
          </w:tcPr>
          <w:p>
            <w:pPr>
              <w:spacing w:after="0" w:line="240" w:lineRule="auto"/>
            </w:pPr>
            <w:r>
              <w:rPr>
                <w:sz w:val="15"/>
              </w:rPr>
              <w:t>P0</w:t>
            </w:r>
          </w:p>
        </w:tc>
        <w:tc>
          <w:tcPr>
            <w:tcW w:type="dxa" w:w="2376"/>
            <w:vAlign w:val="top"/>
            <w:tcMar>
              <w:top w:w="80" w:type="dxa"/>
              <w:start w:w="90" w:type="dxa"/>
              <w:bottom w:w="80" w:type="dxa"/>
              <w:end w:w="90" w:type="dxa"/>
            </w:tcMar>
            <w:shd w:fill="F3F6F8"/>
          </w:tcPr>
          <w:p>
            <w:pPr>
              <w:spacing w:after="0" w:line="240" w:lineRule="auto"/>
            </w:pPr>
            <w:r>
              <w:rPr>
                <w:sz w:val="15"/>
              </w:rPr>
              <w:t>Сильные baselines</w:t>
            </w:r>
          </w:p>
        </w:tc>
        <w:tc>
          <w:tcPr>
            <w:tcW w:type="dxa" w:w="3672"/>
            <w:vAlign w:val="top"/>
            <w:tcMar>
              <w:top w:w="80" w:type="dxa"/>
              <w:start w:w="90" w:type="dxa"/>
              <w:bottom w:w="80" w:type="dxa"/>
              <w:end w:w="90" w:type="dxa"/>
            </w:tcMar>
            <w:shd w:fill="F3F6F8"/>
          </w:tcPr>
          <w:p>
            <w:pPr>
              <w:spacing w:after="0" w:line="240" w:lineRule="auto"/>
            </w:pPr>
            <w:r>
              <w:rPr>
                <w:sz w:val="15"/>
              </w:rPr>
              <w:t>Seasonal naive, ETS/Theta/ARIMA, GBM, linear/MLP</w:t>
            </w:r>
          </w:p>
        </w:tc>
        <w:tc>
          <w:tcPr>
            <w:tcW w:type="dxa" w:w="3672"/>
            <w:vAlign w:val="top"/>
            <w:tcMar>
              <w:top w:w="80" w:type="dxa"/>
              <w:start w:w="90" w:type="dxa"/>
              <w:bottom w:w="80" w:type="dxa"/>
              <w:end w:w="90" w:type="dxa"/>
            </w:tcMar>
            <w:shd w:fill="F3F6F8"/>
          </w:tcPr>
          <w:p>
            <w:pPr>
              <w:spacing w:after="0" w:line="240" w:lineRule="auto"/>
            </w:pPr>
            <w:r>
              <w:rPr>
                <w:sz w:val="15"/>
              </w:rPr>
              <w:t>Победа должна быть практической и статистической</w:t>
            </w:r>
          </w:p>
        </w:tc>
      </w:tr>
      <w:tr>
        <w:trPr>
          <w:cantSplit/>
        </w:trPr>
        <w:tc>
          <w:tcPr>
            <w:tcW w:type="dxa" w:w="792"/>
            <w:vAlign w:val="top"/>
            <w:tcMar>
              <w:top w:w="80" w:type="dxa"/>
              <w:start w:w="90" w:type="dxa"/>
              <w:bottom w:w="80" w:type="dxa"/>
              <w:end w:w="90" w:type="dxa"/>
            </w:tcMar>
          </w:tcPr>
          <w:p>
            <w:pPr>
              <w:spacing w:after="0" w:line="240" w:lineRule="auto"/>
            </w:pPr>
            <w:r>
              <w:rPr>
                <w:sz w:val="15"/>
              </w:rPr>
              <w:t>P1</w:t>
            </w:r>
          </w:p>
        </w:tc>
        <w:tc>
          <w:tcPr>
            <w:tcW w:type="dxa" w:w="2376"/>
            <w:vAlign w:val="top"/>
            <w:tcMar>
              <w:top w:w="80" w:type="dxa"/>
              <w:start w:w="90" w:type="dxa"/>
              <w:bottom w:w="80" w:type="dxa"/>
              <w:end w:w="90" w:type="dxa"/>
            </w:tcMar>
          </w:tcPr>
          <w:p>
            <w:pPr>
              <w:spacing w:after="0" w:line="240" w:lineRule="auto"/>
            </w:pPr>
            <w:r>
              <w:rPr>
                <w:sz w:val="15"/>
              </w:rPr>
              <w:t>Known-future covariates</w:t>
            </w:r>
          </w:p>
        </w:tc>
        <w:tc>
          <w:tcPr>
            <w:tcW w:type="dxa" w:w="3672"/>
            <w:vAlign w:val="top"/>
            <w:tcMar>
              <w:top w:w="80" w:type="dxa"/>
              <w:start w:w="90" w:type="dxa"/>
              <w:bottom w:w="80" w:type="dxa"/>
              <w:end w:w="90" w:type="dxa"/>
            </w:tcMar>
          </w:tcPr>
          <w:p>
            <w:pPr>
              <w:spacing w:after="0" w:line="240" w:lineRule="auto"/>
            </w:pPr>
            <w:r>
              <w:rPr>
                <w:sz w:val="15"/>
              </w:rPr>
              <w:t>Календарь, цены, промо, погода, планы, capacity</w:t>
            </w:r>
          </w:p>
        </w:tc>
        <w:tc>
          <w:tcPr>
            <w:tcW w:type="dxa" w:w="3672"/>
            <w:vAlign w:val="top"/>
            <w:tcMar>
              <w:top w:w="80" w:type="dxa"/>
              <w:start w:w="90" w:type="dxa"/>
              <w:bottom w:w="80" w:type="dxa"/>
              <w:end w:w="90" w:type="dxa"/>
            </w:tcMar>
          </w:tcPr>
          <w:p>
            <w:pPr>
              <w:spacing w:after="0" w:line="240" w:lineRule="auto"/>
            </w:pPr>
            <w:r>
              <w:rPr>
                <w:sz w:val="15"/>
              </w:rPr>
              <w:t>Доступность на forecast creation time</w:t>
            </w:r>
          </w:p>
        </w:tc>
      </w:tr>
      <w:tr>
        <w:trPr>
          <w:cantSplit/>
        </w:trPr>
        <w:tc>
          <w:tcPr>
            <w:tcW w:type="dxa" w:w="792"/>
            <w:vAlign w:val="top"/>
            <w:tcMar>
              <w:top w:w="80" w:type="dxa"/>
              <w:start w:w="90" w:type="dxa"/>
              <w:bottom w:w="80" w:type="dxa"/>
              <w:end w:w="90" w:type="dxa"/>
            </w:tcMar>
            <w:shd w:fill="F3F6F8"/>
          </w:tcPr>
          <w:p>
            <w:pPr>
              <w:spacing w:after="0" w:line="240" w:lineRule="auto"/>
            </w:pPr>
            <w:r>
              <w:rPr>
                <w:sz w:val="15"/>
              </w:rPr>
              <w:t>P1</w:t>
            </w:r>
          </w:p>
        </w:tc>
        <w:tc>
          <w:tcPr>
            <w:tcW w:type="dxa" w:w="2376"/>
            <w:vAlign w:val="top"/>
            <w:tcMar>
              <w:top w:w="80" w:type="dxa"/>
              <w:start w:w="90" w:type="dxa"/>
              <w:bottom w:w="80" w:type="dxa"/>
              <w:end w:w="90" w:type="dxa"/>
            </w:tcMar>
            <w:shd w:fill="F3F6F8"/>
          </w:tcPr>
          <w:p>
            <w:pPr>
              <w:spacing w:after="0" w:line="240" w:lineRule="auto"/>
            </w:pPr>
            <w:r>
              <w:rPr>
                <w:sz w:val="15"/>
              </w:rPr>
              <w:t>Global/multivariate grouping</w:t>
            </w:r>
          </w:p>
        </w:tc>
        <w:tc>
          <w:tcPr>
            <w:tcW w:type="dxa" w:w="3672"/>
            <w:vAlign w:val="top"/>
            <w:tcMar>
              <w:top w:w="80" w:type="dxa"/>
              <w:start w:w="90" w:type="dxa"/>
              <w:bottom w:w="80" w:type="dxa"/>
              <w:end w:w="90" w:type="dxa"/>
            </w:tcMar>
            <w:shd w:fill="F3F6F8"/>
          </w:tcPr>
          <w:p>
            <w:pPr>
              <w:spacing w:after="0" w:line="240" w:lineRule="auto"/>
            </w:pPr>
            <w:r>
              <w:rPr>
                <w:sz w:val="15"/>
              </w:rPr>
              <w:t>Borrow strength across related series</w:t>
            </w:r>
          </w:p>
        </w:tc>
        <w:tc>
          <w:tcPr>
            <w:tcW w:type="dxa" w:w="3672"/>
            <w:vAlign w:val="top"/>
            <w:tcMar>
              <w:top w:w="80" w:type="dxa"/>
              <w:start w:w="90" w:type="dxa"/>
              <w:bottom w:w="80" w:type="dxa"/>
              <w:end w:w="90" w:type="dxa"/>
            </w:tcMar>
            <w:shd w:fill="F3F6F8"/>
          </w:tcPr>
          <w:p>
            <w:pPr>
              <w:spacing w:after="0" w:line="240" w:lineRule="auto"/>
            </w:pPr>
            <w:r>
              <w:rPr>
                <w:sz w:val="15"/>
              </w:rPr>
              <w:t>Ablation: related vs unrelated context</w:t>
            </w:r>
          </w:p>
        </w:tc>
      </w:tr>
      <w:tr>
        <w:trPr>
          <w:cantSplit/>
        </w:trPr>
        <w:tc>
          <w:tcPr>
            <w:tcW w:type="dxa" w:w="792"/>
            <w:vAlign w:val="top"/>
            <w:tcMar>
              <w:top w:w="80" w:type="dxa"/>
              <w:start w:w="90" w:type="dxa"/>
              <w:bottom w:w="80" w:type="dxa"/>
              <w:end w:w="90" w:type="dxa"/>
            </w:tcMar>
          </w:tcPr>
          <w:p>
            <w:pPr>
              <w:spacing w:after="0" w:line="240" w:lineRule="auto"/>
            </w:pPr>
            <w:r>
              <w:rPr>
                <w:sz w:val="15"/>
              </w:rPr>
              <w:t>P1</w:t>
            </w:r>
          </w:p>
        </w:tc>
        <w:tc>
          <w:tcPr>
            <w:tcW w:type="dxa" w:w="2376"/>
            <w:vAlign w:val="top"/>
            <w:tcMar>
              <w:top w:w="80" w:type="dxa"/>
              <w:start w:w="90" w:type="dxa"/>
              <w:bottom w:w="80" w:type="dxa"/>
              <w:end w:w="90" w:type="dxa"/>
            </w:tcMar>
          </w:tcPr>
          <w:p>
            <w:pPr>
              <w:spacing w:after="0" w:line="240" w:lineRule="auto"/>
            </w:pPr>
            <w:r>
              <w:rPr>
                <w:sz w:val="15"/>
              </w:rPr>
              <w:t>Loss aligned to business</w:t>
            </w:r>
          </w:p>
        </w:tc>
        <w:tc>
          <w:tcPr>
            <w:tcW w:type="dxa" w:w="3672"/>
            <w:vAlign w:val="top"/>
            <w:tcMar>
              <w:top w:w="80" w:type="dxa"/>
              <w:start w:w="90" w:type="dxa"/>
              <w:bottom w:w="80" w:type="dxa"/>
              <w:end w:w="90" w:type="dxa"/>
            </w:tcMar>
          </w:tcPr>
          <w:p>
            <w:pPr>
              <w:spacing w:after="0" w:line="240" w:lineRule="auto"/>
            </w:pPr>
            <w:r>
              <w:rPr>
                <w:sz w:val="15"/>
              </w:rPr>
              <w:t>Pinball, asymmetric cost, WAPE/RMSSE, service level</w:t>
            </w:r>
          </w:p>
        </w:tc>
        <w:tc>
          <w:tcPr>
            <w:tcW w:type="dxa" w:w="3672"/>
            <w:vAlign w:val="top"/>
            <w:tcMar>
              <w:top w:w="80" w:type="dxa"/>
              <w:start w:w="90" w:type="dxa"/>
              <w:bottom w:w="80" w:type="dxa"/>
              <w:end w:w="90" w:type="dxa"/>
            </w:tcMar>
          </w:tcPr>
          <w:p>
            <w:pPr>
              <w:spacing w:after="0" w:line="240" w:lineRule="auto"/>
            </w:pPr>
            <w:r>
              <w:rPr>
                <w:sz w:val="15"/>
              </w:rPr>
              <w:t>Offline metric ↔ business KPI correlation</w:t>
            </w:r>
          </w:p>
        </w:tc>
      </w:tr>
      <w:tr>
        <w:trPr>
          <w:cantSplit/>
        </w:trPr>
        <w:tc>
          <w:tcPr>
            <w:tcW w:type="dxa" w:w="792"/>
            <w:vAlign w:val="top"/>
            <w:tcMar>
              <w:top w:w="80" w:type="dxa"/>
              <w:start w:w="90" w:type="dxa"/>
              <w:bottom w:w="80" w:type="dxa"/>
              <w:end w:w="90" w:type="dxa"/>
            </w:tcMar>
            <w:shd w:fill="F3F6F8"/>
          </w:tcPr>
          <w:p>
            <w:pPr>
              <w:spacing w:after="0" w:line="240" w:lineRule="auto"/>
            </w:pPr>
            <w:r>
              <w:rPr>
                <w:sz w:val="15"/>
              </w:rPr>
              <w:t>P2</w:t>
            </w:r>
          </w:p>
        </w:tc>
        <w:tc>
          <w:tcPr>
            <w:tcW w:type="dxa" w:w="2376"/>
            <w:vAlign w:val="top"/>
            <w:tcMar>
              <w:top w:w="80" w:type="dxa"/>
              <w:start w:w="90" w:type="dxa"/>
              <w:bottom w:w="80" w:type="dxa"/>
              <w:end w:w="90" w:type="dxa"/>
            </w:tcMar>
            <w:shd w:fill="F3F6F8"/>
          </w:tcPr>
          <w:p>
            <w:pPr>
              <w:spacing w:after="0" w:line="240" w:lineRule="auto"/>
            </w:pPr>
            <w:r>
              <w:rPr>
                <w:sz w:val="15"/>
              </w:rPr>
              <w:t>Fine-tuning / LoRA</w:t>
            </w:r>
          </w:p>
        </w:tc>
        <w:tc>
          <w:tcPr>
            <w:tcW w:type="dxa" w:w="3672"/>
            <w:vAlign w:val="top"/>
            <w:tcMar>
              <w:top w:w="80" w:type="dxa"/>
              <w:start w:w="90" w:type="dxa"/>
              <w:bottom w:w="80" w:type="dxa"/>
              <w:end w:w="90" w:type="dxa"/>
            </w:tcMar>
            <w:shd w:fill="F3F6F8"/>
          </w:tcPr>
          <w:p>
            <w:pPr>
              <w:spacing w:after="0" w:line="240" w:lineRule="auto"/>
            </w:pPr>
            <w:r>
              <w:rPr>
                <w:sz w:val="15"/>
              </w:rPr>
              <w:t>Domain adaptation после zero-shot baseline</w:t>
            </w:r>
          </w:p>
        </w:tc>
        <w:tc>
          <w:tcPr>
            <w:tcW w:type="dxa" w:w="3672"/>
            <w:vAlign w:val="top"/>
            <w:tcMar>
              <w:top w:w="80" w:type="dxa"/>
              <w:start w:w="90" w:type="dxa"/>
              <w:bottom w:w="80" w:type="dxa"/>
              <w:end w:w="90" w:type="dxa"/>
            </w:tcMar>
            <w:shd w:fill="F3F6F8"/>
          </w:tcPr>
          <w:p>
            <w:pPr>
              <w:spacing w:after="0" w:line="240" w:lineRule="auto"/>
            </w:pPr>
            <w:r>
              <w:rPr>
                <w:sz w:val="15"/>
              </w:rPr>
              <w:t>Frozen test; early stopping; seed repeats</w:t>
            </w:r>
          </w:p>
        </w:tc>
      </w:tr>
      <w:tr>
        <w:trPr>
          <w:cantSplit/>
        </w:trPr>
        <w:tc>
          <w:tcPr>
            <w:tcW w:type="dxa" w:w="792"/>
            <w:vAlign w:val="top"/>
            <w:tcMar>
              <w:top w:w="80" w:type="dxa"/>
              <w:start w:w="90" w:type="dxa"/>
              <w:bottom w:w="80" w:type="dxa"/>
              <w:end w:w="90" w:type="dxa"/>
            </w:tcMar>
          </w:tcPr>
          <w:p>
            <w:pPr>
              <w:spacing w:after="0" w:line="240" w:lineRule="auto"/>
            </w:pPr>
            <w:r>
              <w:rPr>
                <w:sz w:val="15"/>
              </w:rPr>
              <w:t>P2</w:t>
            </w:r>
          </w:p>
        </w:tc>
        <w:tc>
          <w:tcPr>
            <w:tcW w:type="dxa" w:w="2376"/>
            <w:vAlign w:val="top"/>
            <w:tcMar>
              <w:top w:w="80" w:type="dxa"/>
              <w:start w:w="90" w:type="dxa"/>
              <w:bottom w:w="80" w:type="dxa"/>
              <w:end w:w="90" w:type="dxa"/>
            </w:tcMar>
          </w:tcPr>
          <w:p>
            <w:pPr>
              <w:spacing w:after="0" w:line="240" w:lineRule="auto"/>
            </w:pPr>
            <w:r>
              <w:rPr>
                <w:sz w:val="15"/>
              </w:rPr>
              <w:t>Ensemble</w:t>
            </w:r>
          </w:p>
        </w:tc>
        <w:tc>
          <w:tcPr>
            <w:tcW w:type="dxa" w:w="3672"/>
            <w:vAlign w:val="top"/>
            <w:tcMar>
              <w:top w:w="80" w:type="dxa"/>
              <w:start w:w="90" w:type="dxa"/>
              <w:bottom w:w="80" w:type="dxa"/>
              <w:end w:w="90" w:type="dxa"/>
            </w:tcMar>
          </w:tcPr>
          <w:p>
            <w:pPr>
              <w:spacing w:after="0" w:line="240" w:lineRule="auto"/>
            </w:pPr>
            <w:r>
              <w:rPr>
                <w:sz w:val="15"/>
              </w:rPr>
              <w:t>Снижает variance и model-specific failures</w:t>
            </w:r>
          </w:p>
        </w:tc>
        <w:tc>
          <w:tcPr>
            <w:tcW w:type="dxa" w:w="3672"/>
            <w:vAlign w:val="top"/>
            <w:tcMar>
              <w:top w:w="80" w:type="dxa"/>
              <w:start w:w="90" w:type="dxa"/>
              <w:bottom w:w="80" w:type="dxa"/>
              <w:end w:w="90" w:type="dxa"/>
            </w:tcMar>
          </w:tcPr>
          <w:p>
            <w:pPr>
              <w:spacing w:after="0" w:line="240" w:lineRule="auto"/>
            </w:pPr>
            <w:r>
              <w:rPr>
                <w:sz w:val="15"/>
              </w:rPr>
              <w:t>Out-of-fold weights; no test fitting</w:t>
            </w:r>
          </w:p>
        </w:tc>
      </w:tr>
      <w:tr>
        <w:trPr>
          <w:cantSplit/>
        </w:trPr>
        <w:tc>
          <w:tcPr>
            <w:tcW w:type="dxa" w:w="792"/>
            <w:vAlign w:val="top"/>
            <w:tcMar>
              <w:top w:w="80" w:type="dxa"/>
              <w:start w:w="90" w:type="dxa"/>
              <w:bottom w:w="80" w:type="dxa"/>
              <w:end w:w="90" w:type="dxa"/>
            </w:tcMar>
            <w:shd w:fill="F3F6F8"/>
          </w:tcPr>
          <w:p>
            <w:pPr>
              <w:spacing w:after="0" w:line="240" w:lineRule="auto"/>
            </w:pPr>
            <w:r>
              <w:rPr>
                <w:sz w:val="15"/>
              </w:rPr>
              <w:t>P2</w:t>
            </w:r>
          </w:p>
        </w:tc>
        <w:tc>
          <w:tcPr>
            <w:tcW w:type="dxa" w:w="2376"/>
            <w:vAlign w:val="top"/>
            <w:tcMar>
              <w:top w:w="80" w:type="dxa"/>
              <w:start w:w="90" w:type="dxa"/>
              <w:bottom w:w="80" w:type="dxa"/>
              <w:end w:w="90" w:type="dxa"/>
            </w:tcMar>
            <w:shd w:fill="F3F6F8"/>
          </w:tcPr>
          <w:p>
            <w:pPr>
              <w:spacing w:after="0" w:line="240" w:lineRule="auto"/>
            </w:pPr>
            <w:r>
              <w:rPr>
                <w:sz w:val="15"/>
              </w:rPr>
              <w:t>Hierarchy reconciliation</w:t>
            </w:r>
          </w:p>
        </w:tc>
        <w:tc>
          <w:tcPr>
            <w:tcW w:type="dxa" w:w="3672"/>
            <w:vAlign w:val="top"/>
            <w:tcMar>
              <w:top w:w="80" w:type="dxa"/>
              <w:start w:w="90" w:type="dxa"/>
              <w:bottom w:w="80" w:type="dxa"/>
              <w:end w:w="90" w:type="dxa"/>
            </w:tcMar>
            <w:shd w:fill="F3F6F8"/>
          </w:tcPr>
          <w:p>
            <w:pPr>
              <w:spacing w:after="0" w:line="240" w:lineRule="auto"/>
            </w:pPr>
            <w:r>
              <w:rPr>
                <w:sz w:val="15"/>
              </w:rPr>
              <w:t>Согласует SKU/store/region totals</w:t>
            </w:r>
          </w:p>
        </w:tc>
        <w:tc>
          <w:tcPr>
            <w:tcW w:type="dxa" w:w="3672"/>
            <w:vAlign w:val="top"/>
            <w:tcMar>
              <w:top w:w="80" w:type="dxa"/>
              <w:start w:w="90" w:type="dxa"/>
              <w:bottom w:w="80" w:type="dxa"/>
              <w:end w:w="90" w:type="dxa"/>
            </w:tcMar>
            <w:shd w:fill="F3F6F8"/>
          </w:tcPr>
          <w:p>
            <w:pPr>
              <w:spacing w:after="0" w:line="240" w:lineRule="auto"/>
            </w:pPr>
            <w:r>
              <w:rPr>
                <w:sz w:val="15"/>
              </w:rPr>
              <w:t>Base vs reconciled on every level</w:t>
            </w:r>
          </w:p>
        </w:tc>
      </w:tr>
      <w:tr>
        <w:trPr>
          <w:cantSplit/>
        </w:trPr>
        <w:tc>
          <w:tcPr>
            <w:tcW w:type="dxa" w:w="792"/>
            <w:vAlign w:val="top"/>
            <w:tcMar>
              <w:top w:w="80" w:type="dxa"/>
              <w:start w:w="90" w:type="dxa"/>
              <w:bottom w:w="80" w:type="dxa"/>
              <w:end w:w="90" w:type="dxa"/>
            </w:tcMar>
          </w:tcPr>
          <w:p>
            <w:pPr>
              <w:spacing w:after="0" w:line="240" w:lineRule="auto"/>
            </w:pPr>
            <w:r>
              <w:rPr>
                <w:sz w:val="15"/>
              </w:rPr>
              <w:t>P3</w:t>
            </w:r>
          </w:p>
        </w:tc>
        <w:tc>
          <w:tcPr>
            <w:tcW w:type="dxa" w:w="2376"/>
            <w:vAlign w:val="top"/>
            <w:tcMar>
              <w:top w:w="80" w:type="dxa"/>
              <w:start w:w="90" w:type="dxa"/>
              <w:bottom w:w="80" w:type="dxa"/>
              <w:end w:w="90" w:type="dxa"/>
            </w:tcMar>
          </w:tcPr>
          <w:p>
            <w:pPr>
              <w:spacing w:after="0" w:line="240" w:lineRule="auto"/>
            </w:pPr>
            <w:r>
              <w:rPr>
                <w:sz w:val="15"/>
              </w:rPr>
              <w:t>Regime specialists</w:t>
            </w:r>
          </w:p>
        </w:tc>
        <w:tc>
          <w:tcPr>
            <w:tcW w:type="dxa" w:w="3672"/>
            <w:vAlign w:val="top"/>
            <w:tcMar>
              <w:top w:w="80" w:type="dxa"/>
              <w:start w:w="90" w:type="dxa"/>
              <w:bottom w:w="80" w:type="dxa"/>
              <w:end w:w="90" w:type="dxa"/>
            </w:tcMar>
          </w:tcPr>
          <w:p>
            <w:pPr>
              <w:spacing w:after="0" w:line="240" w:lineRule="auto"/>
            </w:pPr>
            <w:r>
              <w:rPr>
                <w:sz w:val="15"/>
              </w:rPr>
              <w:t>Отдельные models для intermittent, launch, holiday, anomaly</w:t>
            </w:r>
          </w:p>
        </w:tc>
        <w:tc>
          <w:tcPr>
            <w:tcW w:type="dxa" w:w="3672"/>
            <w:vAlign w:val="top"/>
            <w:tcMar>
              <w:top w:w="80" w:type="dxa"/>
              <w:start w:w="90" w:type="dxa"/>
              <w:bottom w:w="80" w:type="dxa"/>
              <w:end w:w="90" w:type="dxa"/>
            </w:tcMar>
          </w:tcPr>
          <w:p>
            <w:pPr>
              <w:spacing w:after="0" w:line="240" w:lineRule="auto"/>
            </w:pPr>
            <w:r>
              <w:rPr>
                <w:sz w:val="15"/>
              </w:rPr>
              <w:t>Router learned only on past data</w:t>
            </w:r>
          </w:p>
        </w:tc>
      </w:tr>
      <w:tr>
        <w:trPr>
          <w:cantSplit/>
        </w:trPr>
        <w:tc>
          <w:tcPr>
            <w:tcW w:type="dxa" w:w="792"/>
            <w:vAlign w:val="top"/>
            <w:tcMar>
              <w:top w:w="80" w:type="dxa"/>
              <w:start w:w="90" w:type="dxa"/>
              <w:bottom w:w="80" w:type="dxa"/>
              <w:end w:w="90" w:type="dxa"/>
            </w:tcMar>
            <w:shd w:fill="F3F6F8"/>
          </w:tcPr>
          <w:p>
            <w:pPr>
              <w:spacing w:after="0" w:line="240" w:lineRule="auto"/>
            </w:pPr>
            <w:r>
              <w:rPr>
                <w:sz w:val="15"/>
              </w:rPr>
              <w:t>P3</w:t>
            </w:r>
          </w:p>
        </w:tc>
        <w:tc>
          <w:tcPr>
            <w:tcW w:type="dxa" w:w="2376"/>
            <w:vAlign w:val="top"/>
            <w:tcMar>
              <w:top w:w="80" w:type="dxa"/>
              <w:start w:w="90" w:type="dxa"/>
              <w:bottom w:w="80" w:type="dxa"/>
              <w:end w:w="90" w:type="dxa"/>
            </w:tcMar>
            <w:shd w:fill="F3F6F8"/>
          </w:tcPr>
          <w:p>
            <w:pPr>
              <w:spacing w:after="0" w:line="240" w:lineRule="auto"/>
            </w:pPr>
            <w:r>
              <w:rPr>
                <w:sz w:val="15"/>
              </w:rPr>
              <w:t>Conformal recalibration</w:t>
            </w:r>
          </w:p>
        </w:tc>
        <w:tc>
          <w:tcPr>
            <w:tcW w:type="dxa" w:w="3672"/>
            <w:vAlign w:val="top"/>
            <w:tcMar>
              <w:top w:w="80" w:type="dxa"/>
              <w:start w:w="90" w:type="dxa"/>
              <w:bottom w:w="80" w:type="dxa"/>
              <w:end w:w="90" w:type="dxa"/>
            </w:tcMar>
            <w:shd w:fill="F3F6F8"/>
          </w:tcPr>
          <w:p>
            <w:pPr>
              <w:spacing w:after="0" w:line="240" w:lineRule="auto"/>
            </w:pPr>
            <w:r>
              <w:rPr>
                <w:sz w:val="15"/>
              </w:rPr>
              <w:t>Исправляет coverage без переобучения point model</w:t>
            </w:r>
          </w:p>
        </w:tc>
        <w:tc>
          <w:tcPr>
            <w:tcW w:type="dxa" w:w="3672"/>
            <w:vAlign w:val="top"/>
            <w:tcMar>
              <w:top w:w="80" w:type="dxa"/>
              <w:start w:w="90" w:type="dxa"/>
              <w:bottom w:w="80" w:type="dxa"/>
              <w:end w:w="90" w:type="dxa"/>
            </w:tcMar>
            <w:shd w:fill="F3F6F8"/>
          </w:tcPr>
          <w:p>
            <w:pPr>
              <w:spacing w:after="0" w:line="240" w:lineRule="auto"/>
            </w:pPr>
            <w:r>
              <w:rPr>
                <w:sz w:val="15"/>
              </w:rPr>
              <w:t>Rolling coverage/width/WIS</w:t>
            </w:r>
          </w:p>
        </w:tc>
      </w:tr>
    </w:tbl>
    <w:p>
      <w:pPr>
        <w:spacing w:after="0"/>
      </w:pPr>
    </w:p>
    <w:p>
      <w:pPr>
        <w:widowControl/>
      </w:pPr>
      <w:r>
        <w:t>Валидация должна отражать фактическое принятие решений. Если прогноз ежедневно строится на 28 дней, каждый fold должен имитировать именно этот сценарий. Пространственный или случайный split разрушает временную причинность. Точность можно оценивать только на новых данных; MAPE нестабилен около нуля, поэтому для разномасштабных панелей предпочтительнее MASE/RMSSE или корректно определённая business loss.</w:t>
      </w:r>
      <w:r>
        <w:footnoteReference w:id="32"/>
      </w:r>
    </w:p>
    <w:p>
      <w:pPr>
        <w:pStyle w:val="Heading2"/>
      </w:pPr>
      <w:r>
        <w:t>6.1. Практический model ladder</w:t>
      </w:r>
    </w:p>
    <w:p>
      <w:pPr>
        <w:pStyle w:val="ListBullet"/>
        <w:spacing w:after="60"/>
      </w:pPr>
      <w:r>
        <w:t>Уровень A — sanity: Naive, SeasonalNaive, drift, simple moving seasonal median.</w:t>
      </w:r>
    </w:p>
    <w:p>
      <w:pPr>
        <w:pStyle w:val="ListBullet"/>
        <w:spacing w:after="60"/>
      </w:pPr>
      <w:r>
        <w:t>Уровень B — classical: ETS, AutoARIMA, Theta, MSTL, Croston/TSB для intermittent demand.</w:t>
      </w:r>
    </w:p>
    <w:p>
      <w:pPr>
        <w:pStyle w:val="ListBullet"/>
        <w:spacing w:after="60"/>
      </w:pPr>
      <w:r>
        <w:t>Уровень C — tabular: LightGBM/CatBoost/XGBoost на lags, rolling statistics, календаре и point-in-time external features.</w:t>
      </w:r>
    </w:p>
    <w:p>
      <w:pPr>
        <w:pStyle w:val="ListBullet"/>
        <w:spacing w:after="60"/>
      </w:pPr>
      <w:r>
        <w:t>Уровень D — task-specific deep: N-HiTS, TiDE/TSMixer, PatchTST/iTransformer, TFT при богатых known-future covariates.</w:t>
      </w:r>
    </w:p>
    <w:p>
      <w:pPr>
        <w:pStyle w:val="ListBullet"/>
        <w:spacing w:after="60"/>
      </w:pPr>
      <w:r>
        <w:t>Уровень E — TSFM: Chronos-2, Toto 2.0, Moirai 2.0, TTM; TimesFM в рамках разрешённой лицензии.</w:t>
      </w:r>
    </w:p>
    <w:p>
      <w:pPr>
        <w:pStyle w:val="ListBullet"/>
        <w:spacing w:after="60"/>
      </w:pPr>
      <w:r>
        <w:t>Уровень F — calibrated ensemble: constrained non-negative OOF weights, per-horizon blend или robust median; затем reconciliation и conformal calibration.</w:t>
      </w:r>
    </w:p>
    <w:p>
      <w:pPr>
        <w:pStyle w:val="Heading1"/>
      </w:pPr>
      <w:r>
        <w:t>7. CI-анализ: интервалы прогноза и уверенность в сравнении</w:t>
      </w:r>
    </w:p>
    <w:p>
      <w:pPr>
        <w:widowControl/>
      </w:pPr>
      <w:r>
        <w:t>Доверительный интервал среднего и prediction interval будущего наблюдения — не одно и то же. В production почти всегда нужен второй: он включает шум будущего исхода, поэтому шире. Для probabilistic forecast корректнее говорить о quantile/central prediction interval или predictive distribution. Отдельно нужен confidence interval разницы метрик между моделями.</w:t>
      </w:r>
    </w:p>
    <w:p>
      <w:pPr>
        <w:pStyle w:val="Heading2"/>
      </w:pPr>
      <w:r>
        <w:t>7.1. Качество вероятностного прогноза</w:t>
      </w:r>
    </w:p>
    <w:tbl>
      <w:tblPr>
        <w:tblStyle w:val="TableGrid"/>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1656"/>
            <w:shd w:fill="16324F"/>
            <w:vAlign w:val="center"/>
            <w:tcMar>
              <w:top w:w="80" w:type="dxa"/>
              <w:start w:w="90" w:type="dxa"/>
              <w:bottom w:w="80" w:type="dxa"/>
              <w:end w:w="90" w:type="dxa"/>
            </w:tcMar>
          </w:tcPr>
          <w:p>
            <w:pPr>
              <w:spacing w:after="0"/>
            </w:pPr>
            <w:r>
              <w:rPr>
                <w:b/>
                <w:color w:val="FFFFFF"/>
                <w:sz w:val="15"/>
              </w:rPr>
              <w:t>Показатель</w:t>
            </w:r>
          </w:p>
        </w:tc>
        <w:tc>
          <w:tcPr>
            <w:tcW w:type="dxa" w:w="2880"/>
            <w:shd w:fill="16324F"/>
            <w:vAlign w:val="center"/>
            <w:tcMar>
              <w:top w:w="80" w:type="dxa"/>
              <w:start w:w="90" w:type="dxa"/>
              <w:bottom w:w="80" w:type="dxa"/>
              <w:end w:w="90" w:type="dxa"/>
            </w:tcMar>
          </w:tcPr>
          <w:p>
            <w:pPr>
              <w:spacing w:after="0"/>
            </w:pPr>
            <w:r>
              <w:rPr>
                <w:b/>
                <w:color w:val="FFFFFF"/>
                <w:sz w:val="15"/>
              </w:rPr>
              <w:t>Что измеряет</w:t>
            </w:r>
          </w:p>
        </w:tc>
        <w:tc>
          <w:tcPr>
            <w:tcW w:type="dxa" w:w="3024"/>
            <w:shd w:fill="16324F"/>
            <w:vAlign w:val="center"/>
            <w:tcMar>
              <w:top w:w="80" w:type="dxa"/>
              <w:start w:w="90" w:type="dxa"/>
              <w:bottom w:w="80" w:type="dxa"/>
              <w:end w:w="90" w:type="dxa"/>
            </w:tcMar>
          </w:tcPr>
          <w:p>
            <w:pPr>
              <w:spacing w:after="0"/>
            </w:pPr>
            <w:r>
              <w:rPr>
                <w:b/>
                <w:color w:val="FFFFFF"/>
                <w:sz w:val="15"/>
              </w:rPr>
              <w:t>Интерпретация</w:t>
            </w:r>
          </w:p>
        </w:tc>
        <w:tc>
          <w:tcPr>
            <w:tcW w:type="dxa" w:w="3024"/>
            <w:shd w:fill="16324F"/>
            <w:vAlign w:val="center"/>
            <w:tcMar>
              <w:top w:w="80" w:type="dxa"/>
              <w:start w:w="90" w:type="dxa"/>
              <w:bottom w:w="80" w:type="dxa"/>
              <w:end w:w="90" w:type="dxa"/>
            </w:tcMar>
          </w:tcPr>
          <w:p>
            <w:pPr>
              <w:spacing w:after="0"/>
            </w:pPr>
            <w:r>
              <w:rPr>
                <w:b/>
                <w:color w:val="FFFFFF"/>
                <w:sz w:val="15"/>
              </w:rPr>
              <w:t>Риск неверного применения</w:t>
            </w:r>
          </w:p>
        </w:tc>
      </w:tr>
      <w:tr>
        <w:trPr>
          <w:cantSplit/>
        </w:trPr>
        <w:tc>
          <w:tcPr>
            <w:tcW w:type="dxa" w:w="1656"/>
            <w:vAlign w:val="top"/>
            <w:tcMar>
              <w:top w:w="80" w:type="dxa"/>
              <w:start w:w="90" w:type="dxa"/>
              <w:bottom w:w="80" w:type="dxa"/>
              <w:end w:w="90" w:type="dxa"/>
            </w:tcMar>
          </w:tcPr>
          <w:p>
            <w:pPr>
              <w:spacing w:after="0" w:line="240" w:lineRule="auto"/>
            </w:pPr>
            <w:r>
              <w:rPr>
                <w:sz w:val="15"/>
              </w:rPr>
              <w:t>Coverage</w:t>
            </w:r>
          </w:p>
        </w:tc>
        <w:tc>
          <w:tcPr>
            <w:tcW w:type="dxa" w:w="2880"/>
            <w:vAlign w:val="top"/>
            <w:tcMar>
              <w:top w:w="80" w:type="dxa"/>
              <w:start w:w="90" w:type="dxa"/>
              <w:bottom w:w="80" w:type="dxa"/>
              <w:end w:w="90" w:type="dxa"/>
            </w:tcMar>
          </w:tcPr>
          <w:p>
            <w:pPr>
              <w:spacing w:after="0" w:line="240" w:lineRule="auto"/>
            </w:pPr>
            <w:r>
              <w:rPr>
                <w:sz w:val="15"/>
              </w:rPr>
              <w:t>Доля y внутри nominal interval</w:t>
            </w:r>
          </w:p>
        </w:tc>
        <w:tc>
          <w:tcPr>
            <w:tcW w:type="dxa" w:w="3024"/>
            <w:vAlign w:val="top"/>
            <w:tcMar>
              <w:top w:w="80" w:type="dxa"/>
              <w:start w:w="90" w:type="dxa"/>
              <w:bottom w:w="80" w:type="dxa"/>
              <w:end w:w="90" w:type="dxa"/>
            </w:tcMar>
          </w:tcPr>
          <w:p>
            <w:pPr>
              <w:spacing w:after="0" w:line="240" w:lineRule="auto"/>
            </w:pPr>
            <w:r>
              <w:rPr>
                <w:sz w:val="15"/>
              </w:rPr>
              <w:t>90% PI должен покрывать около 90%</w:t>
            </w:r>
          </w:p>
        </w:tc>
        <w:tc>
          <w:tcPr>
            <w:tcW w:type="dxa" w:w="3024"/>
            <w:vAlign w:val="top"/>
            <w:tcMar>
              <w:top w:w="80" w:type="dxa"/>
              <w:start w:w="90" w:type="dxa"/>
              <w:bottom w:w="80" w:type="dxa"/>
              <w:end w:w="90" w:type="dxa"/>
            </w:tcMar>
          </w:tcPr>
          <w:p>
            <w:pPr>
              <w:spacing w:after="0" w:line="240" w:lineRule="auto"/>
            </w:pPr>
            <w:r>
              <w:rPr>
                <w:sz w:val="15"/>
              </w:rPr>
              <w:t>Среднее скрывает провалы по horizon/segment</w:t>
            </w:r>
          </w:p>
        </w:tc>
      </w:tr>
      <w:tr>
        <w:trPr>
          <w:cantSplit/>
        </w:trPr>
        <w:tc>
          <w:tcPr>
            <w:tcW w:type="dxa" w:w="1656"/>
            <w:vAlign w:val="top"/>
            <w:tcMar>
              <w:top w:w="80" w:type="dxa"/>
              <w:start w:w="90" w:type="dxa"/>
              <w:bottom w:w="80" w:type="dxa"/>
              <w:end w:w="90" w:type="dxa"/>
            </w:tcMar>
            <w:shd w:fill="F3F6F8"/>
          </w:tcPr>
          <w:p>
            <w:pPr>
              <w:spacing w:after="0" w:line="240" w:lineRule="auto"/>
            </w:pPr>
            <w:r>
              <w:rPr>
                <w:sz w:val="15"/>
              </w:rPr>
              <w:t>Mean interval width</w:t>
            </w:r>
          </w:p>
        </w:tc>
        <w:tc>
          <w:tcPr>
            <w:tcW w:type="dxa" w:w="2880"/>
            <w:vAlign w:val="top"/>
            <w:tcMar>
              <w:top w:w="80" w:type="dxa"/>
              <w:start w:w="90" w:type="dxa"/>
              <w:bottom w:w="80" w:type="dxa"/>
              <w:end w:w="90" w:type="dxa"/>
            </w:tcMar>
            <w:shd w:fill="F3F6F8"/>
          </w:tcPr>
          <w:p>
            <w:pPr>
              <w:spacing w:after="0" w:line="240" w:lineRule="auto"/>
            </w:pPr>
            <w:r>
              <w:rPr>
                <w:sz w:val="15"/>
              </w:rPr>
              <w:t>Резкость</w:t>
            </w:r>
          </w:p>
        </w:tc>
        <w:tc>
          <w:tcPr>
            <w:tcW w:type="dxa" w:w="3024"/>
            <w:vAlign w:val="top"/>
            <w:tcMar>
              <w:top w:w="80" w:type="dxa"/>
              <w:start w:w="90" w:type="dxa"/>
              <w:bottom w:w="80" w:type="dxa"/>
              <w:end w:w="90" w:type="dxa"/>
            </w:tcMar>
            <w:shd w:fill="F3F6F8"/>
          </w:tcPr>
          <w:p>
            <w:pPr>
              <w:spacing w:after="0" w:line="240" w:lineRule="auto"/>
            </w:pPr>
            <w:r>
              <w:rPr>
                <w:sz w:val="15"/>
              </w:rPr>
              <w:t>Уже лучше только при достаточном coverage</w:t>
            </w:r>
          </w:p>
        </w:tc>
        <w:tc>
          <w:tcPr>
            <w:tcW w:type="dxa" w:w="3024"/>
            <w:vAlign w:val="top"/>
            <w:tcMar>
              <w:top w:w="80" w:type="dxa"/>
              <w:start w:w="90" w:type="dxa"/>
              <w:bottom w:w="80" w:type="dxa"/>
              <w:end w:w="90" w:type="dxa"/>
            </w:tcMar>
            <w:shd w:fill="F3F6F8"/>
          </w:tcPr>
          <w:p>
            <w:pPr>
              <w:spacing w:after="0" w:line="240" w:lineRule="auto"/>
            </w:pPr>
            <w:r>
              <w:rPr>
                <w:sz w:val="15"/>
              </w:rPr>
              <w:t>Можно получить узкие, но бесполезные интервалы</w:t>
            </w:r>
          </w:p>
        </w:tc>
      </w:tr>
      <w:tr>
        <w:trPr>
          <w:cantSplit/>
        </w:trPr>
        <w:tc>
          <w:tcPr>
            <w:tcW w:type="dxa" w:w="1656"/>
            <w:vAlign w:val="top"/>
            <w:tcMar>
              <w:top w:w="80" w:type="dxa"/>
              <w:start w:w="90" w:type="dxa"/>
              <w:bottom w:w="80" w:type="dxa"/>
              <w:end w:w="90" w:type="dxa"/>
            </w:tcMar>
          </w:tcPr>
          <w:p>
            <w:pPr>
              <w:spacing w:after="0" w:line="240" w:lineRule="auto"/>
            </w:pPr>
            <w:r>
              <w:rPr>
                <w:sz w:val="15"/>
              </w:rPr>
              <w:t>Winkler / interval score</w:t>
            </w:r>
          </w:p>
        </w:tc>
        <w:tc>
          <w:tcPr>
            <w:tcW w:type="dxa" w:w="2880"/>
            <w:vAlign w:val="top"/>
            <w:tcMar>
              <w:top w:w="80" w:type="dxa"/>
              <w:start w:w="90" w:type="dxa"/>
              <w:bottom w:w="80" w:type="dxa"/>
              <w:end w:w="90" w:type="dxa"/>
            </w:tcMar>
          </w:tcPr>
          <w:p>
            <w:pPr>
              <w:spacing w:after="0" w:line="240" w:lineRule="auto"/>
            </w:pPr>
            <w:r>
              <w:rPr>
                <w:sz w:val="15"/>
              </w:rPr>
              <w:t>Ширина + штраф за промах</w:t>
            </w:r>
          </w:p>
        </w:tc>
        <w:tc>
          <w:tcPr>
            <w:tcW w:type="dxa" w:w="3024"/>
            <w:vAlign w:val="top"/>
            <w:tcMar>
              <w:top w:w="80" w:type="dxa"/>
              <w:start w:w="90" w:type="dxa"/>
              <w:bottom w:w="80" w:type="dxa"/>
              <w:end w:w="90" w:type="dxa"/>
            </w:tcMar>
          </w:tcPr>
          <w:p>
            <w:pPr>
              <w:spacing w:after="0" w:line="240" w:lineRule="auto"/>
            </w:pPr>
            <w:r>
              <w:rPr>
                <w:sz w:val="15"/>
              </w:rPr>
              <w:t>Ниже лучше</w:t>
            </w:r>
          </w:p>
        </w:tc>
        <w:tc>
          <w:tcPr>
            <w:tcW w:type="dxa" w:w="3024"/>
            <w:vAlign w:val="top"/>
            <w:tcMar>
              <w:top w:w="80" w:type="dxa"/>
              <w:start w:w="90" w:type="dxa"/>
              <w:bottom w:w="80" w:type="dxa"/>
              <w:end w:w="90" w:type="dxa"/>
            </w:tcMar>
          </w:tcPr>
          <w:p>
            <w:pPr>
              <w:spacing w:after="0" w:line="240" w:lineRule="auto"/>
            </w:pPr>
            <w:r>
              <w:rPr>
                <w:sz w:val="15"/>
              </w:rPr>
              <w:t>Нельзя оптимизировать coverage отдельно</w:t>
            </w:r>
          </w:p>
        </w:tc>
      </w:tr>
      <w:tr>
        <w:trPr>
          <w:cantSplit/>
        </w:trPr>
        <w:tc>
          <w:tcPr>
            <w:tcW w:type="dxa" w:w="1656"/>
            <w:vAlign w:val="top"/>
            <w:tcMar>
              <w:top w:w="80" w:type="dxa"/>
              <w:start w:w="90" w:type="dxa"/>
              <w:bottom w:w="80" w:type="dxa"/>
              <w:end w:w="90" w:type="dxa"/>
            </w:tcMar>
            <w:shd w:fill="F3F6F8"/>
          </w:tcPr>
          <w:p>
            <w:pPr>
              <w:spacing w:after="0" w:line="240" w:lineRule="auto"/>
            </w:pPr>
            <w:r>
              <w:rPr>
                <w:sz w:val="15"/>
              </w:rPr>
              <w:t>WIS</w:t>
            </w:r>
          </w:p>
        </w:tc>
        <w:tc>
          <w:tcPr>
            <w:tcW w:type="dxa" w:w="2880"/>
            <w:vAlign w:val="top"/>
            <w:tcMar>
              <w:top w:w="80" w:type="dxa"/>
              <w:start w:w="90" w:type="dxa"/>
              <w:bottom w:w="80" w:type="dxa"/>
              <w:end w:w="90" w:type="dxa"/>
            </w:tcMar>
            <w:shd w:fill="F3F6F8"/>
          </w:tcPr>
          <w:p>
            <w:pPr>
              <w:spacing w:after="0" w:line="240" w:lineRule="auto"/>
            </w:pPr>
            <w:r>
              <w:rPr>
                <w:sz w:val="15"/>
              </w:rPr>
              <w:t>Набор central intervals</w:t>
            </w:r>
          </w:p>
        </w:tc>
        <w:tc>
          <w:tcPr>
            <w:tcW w:type="dxa" w:w="3024"/>
            <w:vAlign w:val="top"/>
            <w:tcMar>
              <w:top w:w="80" w:type="dxa"/>
              <w:start w:w="90" w:type="dxa"/>
              <w:bottom w:w="80" w:type="dxa"/>
              <w:end w:w="90" w:type="dxa"/>
            </w:tcMar>
            <w:shd w:fill="F3F6F8"/>
          </w:tcPr>
          <w:p>
            <w:pPr>
              <w:spacing w:after="0" w:line="240" w:lineRule="auto"/>
            </w:pPr>
            <w:r>
              <w:rPr>
                <w:sz w:val="15"/>
              </w:rPr>
              <w:t>Квантильная аппроксимация CRPS; ниже лучше</w:t>
            </w:r>
          </w:p>
        </w:tc>
        <w:tc>
          <w:tcPr>
            <w:tcW w:type="dxa" w:w="3024"/>
            <w:vAlign w:val="top"/>
            <w:tcMar>
              <w:top w:w="80" w:type="dxa"/>
              <w:start w:w="90" w:type="dxa"/>
              <w:bottom w:w="80" w:type="dxa"/>
              <w:end w:w="90" w:type="dxa"/>
            </w:tcMar>
            <w:shd w:fill="F3F6F8"/>
          </w:tcPr>
          <w:p>
            <w:pPr>
              <w:spacing w:after="0" w:line="240" w:lineRule="auto"/>
            </w:pPr>
            <w:r>
              <w:rPr>
                <w:sz w:val="15"/>
              </w:rPr>
              <w:t>Нужна одинаковая сетка квантилей</w:t>
            </w:r>
          </w:p>
        </w:tc>
      </w:tr>
      <w:tr>
        <w:trPr>
          <w:cantSplit/>
        </w:trPr>
        <w:tc>
          <w:tcPr>
            <w:tcW w:type="dxa" w:w="1656"/>
            <w:vAlign w:val="top"/>
            <w:tcMar>
              <w:top w:w="80" w:type="dxa"/>
              <w:start w:w="90" w:type="dxa"/>
              <w:bottom w:w="80" w:type="dxa"/>
              <w:end w:w="90" w:type="dxa"/>
            </w:tcMar>
          </w:tcPr>
          <w:p>
            <w:pPr>
              <w:spacing w:after="0" w:line="240" w:lineRule="auto"/>
            </w:pPr>
            <w:r>
              <w:rPr>
                <w:sz w:val="15"/>
              </w:rPr>
              <w:t>CRPS</w:t>
            </w:r>
          </w:p>
        </w:tc>
        <w:tc>
          <w:tcPr>
            <w:tcW w:type="dxa" w:w="2880"/>
            <w:vAlign w:val="top"/>
            <w:tcMar>
              <w:top w:w="80" w:type="dxa"/>
              <w:start w:w="90" w:type="dxa"/>
              <w:bottom w:w="80" w:type="dxa"/>
              <w:end w:w="90" w:type="dxa"/>
            </w:tcMar>
          </w:tcPr>
          <w:p>
            <w:pPr>
              <w:spacing w:after="0" w:line="240" w:lineRule="auto"/>
            </w:pPr>
            <w:r>
              <w:rPr>
                <w:sz w:val="15"/>
              </w:rPr>
              <w:t>Полная predictive CDF против наблюдения</w:t>
            </w:r>
          </w:p>
        </w:tc>
        <w:tc>
          <w:tcPr>
            <w:tcW w:type="dxa" w:w="3024"/>
            <w:vAlign w:val="top"/>
            <w:tcMar>
              <w:top w:w="80" w:type="dxa"/>
              <w:start w:w="90" w:type="dxa"/>
              <w:bottom w:w="80" w:type="dxa"/>
              <w:end w:w="90" w:type="dxa"/>
            </w:tcMar>
          </w:tcPr>
          <w:p>
            <w:pPr>
              <w:spacing w:after="0" w:line="240" w:lineRule="auto"/>
            </w:pPr>
            <w:r>
              <w:rPr>
                <w:sz w:val="15"/>
              </w:rPr>
              <w:t>Proper score; ниже лучше</w:t>
            </w:r>
          </w:p>
        </w:tc>
        <w:tc>
          <w:tcPr>
            <w:tcW w:type="dxa" w:w="3024"/>
            <w:vAlign w:val="top"/>
            <w:tcMar>
              <w:top w:w="80" w:type="dxa"/>
              <w:start w:w="90" w:type="dxa"/>
              <w:bottom w:w="80" w:type="dxa"/>
              <w:end w:w="90" w:type="dxa"/>
            </w:tcMar>
          </w:tcPr>
          <w:p>
            <w:pPr>
              <w:spacing w:after="0" w:line="240" w:lineRule="auto"/>
            </w:pPr>
            <w:r>
              <w:rPr>
                <w:sz w:val="15"/>
              </w:rPr>
              <w:t>Сравнивать на общей шкале/агрегации</w:t>
            </w:r>
          </w:p>
        </w:tc>
      </w:tr>
      <w:tr>
        <w:trPr>
          <w:cantSplit/>
        </w:trPr>
        <w:tc>
          <w:tcPr>
            <w:tcW w:type="dxa" w:w="1656"/>
            <w:vAlign w:val="top"/>
            <w:tcMar>
              <w:top w:w="80" w:type="dxa"/>
              <w:start w:w="90" w:type="dxa"/>
              <w:bottom w:w="80" w:type="dxa"/>
              <w:end w:w="90" w:type="dxa"/>
            </w:tcMar>
            <w:shd w:fill="F3F6F8"/>
          </w:tcPr>
          <w:p>
            <w:pPr>
              <w:spacing w:after="0" w:line="240" w:lineRule="auto"/>
            </w:pPr>
            <w:r>
              <w:rPr>
                <w:sz w:val="15"/>
              </w:rPr>
              <w:t>Pinball loss</w:t>
            </w:r>
          </w:p>
        </w:tc>
        <w:tc>
          <w:tcPr>
            <w:tcW w:type="dxa" w:w="2880"/>
            <w:vAlign w:val="top"/>
            <w:tcMar>
              <w:top w:w="80" w:type="dxa"/>
              <w:start w:w="90" w:type="dxa"/>
              <w:bottom w:w="80" w:type="dxa"/>
              <w:end w:w="90" w:type="dxa"/>
            </w:tcMar>
            <w:shd w:fill="F3F6F8"/>
          </w:tcPr>
          <w:p>
            <w:pPr>
              <w:spacing w:after="0" w:line="240" w:lineRule="auto"/>
            </w:pPr>
            <w:r>
              <w:rPr>
                <w:sz w:val="15"/>
              </w:rPr>
              <w:t>Отдельный квантиль</w:t>
            </w:r>
          </w:p>
        </w:tc>
        <w:tc>
          <w:tcPr>
            <w:tcW w:type="dxa" w:w="3024"/>
            <w:vAlign w:val="top"/>
            <w:tcMar>
              <w:top w:w="80" w:type="dxa"/>
              <w:start w:w="90" w:type="dxa"/>
              <w:bottom w:w="80" w:type="dxa"/>
              <w:end w:w="90" w:type="dxa"/>
            </w:tcMar>
            <w:shd w:fill="F3F6F8"/>
          </w:tcPr>
          <w:p>
            <w:pPr>
              <w:spacing w:after="0" w:line="240" w:lineRule="auto"/>
            </w:pPr>
            <w:r>
              <w:rPr>
                <w:sz w:val="15"/>
              </w:rPr>
              <w:t>Проверяет p10, p50, p90 и т. д.</w:t>
            </w:r>
          </w:p>
        </w:tc>
        <w:tc>
          <w:tcPr>
            <w:tcW w:type="dxa" w:w="3024"/>
            <w:vAlign w:val="top"/>
            <w:tcMar>
              <w:top w:w="80" w:type="dxa"/>
              <w:start w:w="90" w:type="dxa"/>
              <w:bottom w:w="80" w:type="dxa"/>
              <w:end w:w="90" w:type="dxa"/>
            </w:tcMar>
            <w:shd w:fill="F3F6F8"/>
          </w:tcPr>
          <w:p>
            <w:pPr>
              <w:spacing w:after="0" w:line="240" w:lineRule="auto"/>
            </w:pPr>
            <w:r>
              <w:rPr>
                <w:sz w:val="15"/>
              </w:rPr>
              <w:t>Следить за quantile crossing</w:t>
            </w:r>
          </w:p>
        </w:tc>
      </w:tr>
      <w:tr>
        <w:trPr>
          <w:cantSplit/>
        </w:trPr>
        <w:tc>
          <w:tcPr>
            <w:tcW w:type="dxa" w:w="1656"/>
            <w:vAlign w:val="top"/>
            <w:tcMar>
              <w:top w:w="80" w:type="dxa"/>
              <w:start w:w="90" w:type="dxa"/>
              <w:bottom w:w="80" w:type="dxa"/>
              <w:end w:w="90" w:type="dxa"/>
            </w:tcMar>
          </w:tcPr>
          <w:p>
            <w:pPr>
              <w:spacing w:after="0" w:line="240" w:lineRule="auto"/>
            </w:pPr>
            <w:r>
              <w:rPr>
                <w:sz w:val="15"/>
              </w:rPr>
              <w:t>PIT / rank histogram</w:t>
            </w:r>
          </w:p>
        </w:tc>
        <w:tc>
          <w:tcPr>
            <w:tcW w:type="dxa" w:w="2880"/>
            <w:vAlign w:val="top"/>
            <w:tcMar>
              <w:top w:w="80" w:type="dxa"/>
              <w:start w:w="90" w:type="dxa"/>
              <w:bottom w:w="80" w:type="dxa"/>
              <w:end w:w="90" w:type="dxa"/>
            </w:tcMar>
          </w:tcPr>
          <w:p>
            <w:pPr>
              <w:spacing w:after="0" w:line="240" w:lineRule="auto"/>
            </w:pPr>
            <w:r>
              <w:rPr>
                <w:sz w:val="15"/>
              </w:rPr>
              <w:t>Калибровка всей distribution</w:t>
            </w:r>
          </w:p>
        </w:tc>
        <w:tc>
          <w:tcPr>
            <w:tcW w:type="dxa" w:w="3024"/>
            <w:vAlign w:val="top"/>
            <w:tcMar>
              <w:top w:w="80" w:type="dxa"/>
              <w:start w:w="90" w:type="dxa"/>
              <w:bottom w:w="80" w:type="dxa"/>
              <w:end w:w="90" w:type="dxa"/>
            </w:tcMar>
          </w:tcPr>
          <w:p>
            <w:pPr>
              <w:spacing w:after="0" w:line="240" w:lineRule="auto"/>
            </w:pPr>
            <w:r>
              <w:rPr>
                <w:sz w:val="15"/>
              </w:rPr>
              <w:t>В идеале близко к uniform</w:t>
            </w:r>
          </w:p>
        </w:tc>
        <w:tc>
          <w:tcPr>
            <w:tcW w:type="dxa" w:w="3024"/>
            <w:vAlign w:val="top"/>
            <w:tcMar>
              <w:top w:w="80" w:type="dxa"/>
              <w:start w:w="90" w:type="dxa"/>
              <w:bottom w:w="80" w:type="dxa"/>
              <w:end w:w="90" w:type="dxa"/>
            </w:tcMar>
          </w:tcPr>
          <w:p>
            <w:pPr>
              <w:spacing w:after="0" w:line="240" w:lineRule="auto"/>
            </w:pPr>
            <w:r>
              <w:rPr>
                <w:sz w:val="15"/>
              </w:rPr>
              <w:t>Serial dependence требует осторожных bands</w:t>
            </w:r>
          </w:p>
        </w:tc>
      </w:tr>
    </w:tbl>
    <w:p>
      <w:pPr>
        <w:spacing w:after="0"/>
      </w:pPr>
    </w:p>
    <w:p>
      <w:pPr>
        <w:widowControl/>
      </w:pPr>
      <w:r>
        <w:t>Proper scoring rules одновременно поощряют calibration и sharpness: честное predictive distribution минимизирует ожидаемую потерю. WIS удобен, когда модель выдаёт набор квантилей, и сходится по смыслу к CRPS при плотной сетке.</w:t>
      </w:r>
      <w:r>
        <w:footnoteReference w:id="34"/>
      </w:r>
      <w:r>
        <w:footnoteReference w:id="33"/>
      </w:r>
    </w:p>
    <w:p>
      <w:pPr>
        <w:pStyle w:val="Heading2"/>
      </w:pPr>
      <w:r>
        <w:t>7.2. Посткалибровка интервалов</w:t>
      </w:r>
    </w:p>
    <w:p>
      <w:pPr>
        <w:widowControl/>
      </w:pPr>
      <w:r>
        <w:t>Conformal prediction не делает ошибочную модель точной, но превращает её остатки в калиброванные интервалы при явно сформулированных предпосылках. Conformalized Quantile Regression сочетает heteroscedastic quantile model с конечновыборочной marginal coverage guarantee при exchangeability. Для временной зависимости EnbPI использует ансамбли и последовательное обновление, а Adaptive Conformal Inference регулирует уровень при distribution shift.</w:t>
      </w:r>
      <w:r>
        <w:footnoteReference w:id="37"/>
      </w:r>
      <w:r>
        <w:footnoteReference w:id="36"/>
      </w:r>
      <w:r>
        <w:footnoteReference w:id="35"/>
      </w:r>
    </w:p>
    <w:tbl>
      <w:tblPr>
        <w:tblStyle w:val="TableGrid"/>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1728"/>
            <w:shd w:fill="16324F"/>
            <w:vAlign w:val="center"/>
            <w:tcMar>
              <w:top w:w="80" w:type="dxa"/>
              <w:start w:w="90" w:type="dxa"/>
              <w:bottom w:w="80" w:type="dxa"/>
              <w:end w:w="90" w:type="dxa"/>
            </w:tcMar>
          </w:tcPr>
          <w:p>
            <w:pPr>
              <w:spacing w:after="0"/>
            </w:pPr>
            <w:r>
              <w:rPr>
                <w:b/>
                <w:color w:val="FFFFFF"/>
                <w:sz w:val="15"/>
              </w:rPr>
              <w:t>Метод</w:t>
            </w:r>
          </w:p>
        </w:tc>
        <w:tc>
          <w:tcPr>
            <w:tcW w:type="dxa" w:w="2376"/>
            <w:shd w:fill="16324F"/>
            <w:vAlign w:val="center"/>
            <w:tcMar>
              <w:top w:w="80" w:type="dxa"/>
              <w:start w:w="90" w:type="dxa"/>
              <w:bottom w:w="80" w:type="dxa"/>
              <w:end w:w="90" w:type="dxa"/>
            </w:tcMar>
          </w:tcPr>
          <w:p>
            <w:pPr>
              <w:spacing w:after="0"/>
            </w:pPr>
            <w:r>
              <w:rPr>
                <w:b/>
                <w:color w:val="FFFFFF"/>
                <w:sz w:val="15"/>
              </w:rPr>
              <w:t>Когда</w:t>
            </w:r>
          </w:p>
        </w:tc>
        <w:tc>
          <w:tcPr>
            <w:tcW w:type="dxa" w:w="3096"/>
            <w:shd w:fill="16324F"/>
            <w:vAlign w:val="center"/>
            <w:tcMar>
              <w:top w:w="80" w:type="dxa"/>
              <w:start w:w="90" w:type="dxa"/>
              <w:bottom w:w="80" w:type="dxa"/>
              <w:end w:w="90" w:type="dxa"/>
            </w:tcMar>
          </w:tcPr>
          <w:p>
            <w:pPr>
              <w:spacing w:after="0"/>
            </w:pPr>
            <w:r>
              <w:rPr>
                <w:b/>
                <w:color w:val="FFFFFF"/>
                <w:sz w:val="15"/>
              </w:rPr>
              <w:t>Гарантия / цель</w:t>
            </w:r>
          </w:p>
        </w:tc>
        <w:tc>
          <w:tcPr>
            <w:tcW w:type="dxa" w:w="3384"/>
            <w:shd w:fill="16324F"/>
            <w:vAlign w:val="center"/>
            <w:tcMar>
              <w:top w:w="80" w:type="dxa"/>
              <w:start w:w="90" w:type="dxa"/>
              <w:bottom w:w="80" w:type="dxa"/>
              <w:end w:w="90" w:type="dxa"/>
            </w:tcMar>
          </w:tcPr>
          <w:p>
            <w:pPr>
              <w:spacing w:after="0"/>
            </w:pPr>
            <w:r>
              <w:rPr>
                <w:b/>
                <w:color w:val="FFFFFF"/>
                <w:sz w:val="15"/>
              </w:rPr>
              <w:t>Практическая настройка</w:t>
            </w:r>
          </w:p>
        </w:tc>
      </w:tr>
      <w:tr>
        <w:trPr>
          <w:cantSplit/>
        </w:trPr>
        <w:tc>
          <w:tcPr>
            <w:tcW w:type="dxa" w:w="1728"/>
            <w:vAlign w:val="top"/>
            <w:tcMar>
              <w:top w:w="80" w:type="dxa"/>
              <w:start w:w="90" w:type="dxa"/>
              <w:bottom w:w="80" w:type="dxa"/>
              <w:end w:w="90" w:type="dxa"/>
            </w:tcMar>
          </w:tcPr>
          <w:p>
            <w:pPr>
              <w:spacing w:after="0" w:line="240" w:lineRule="auto"/>
            </w:pPr>
            <w:r>
              <w:rPr>
                <w:sz w:val="15"/>
              </w:rPr>
              <w:t>Split conformal</w:t>
            </w:r>
          </w:p>
        </w:tc>
        <w:tc>
          <w:tcPr>
            <w:tcW w:type="dxa" w:w="2376"/>
            <w:vAlign w:val="top"/>
            <w:tcMar>
              <w:top w:w="80" w:type="dxa"/>
              <w:start w:w="90" w:type="dxa"/>
              <w:bottom w:w="80" w:type="dxa"/>
              <w:end w:w="90" w:type="dxa"/>
            </w:tcMar>
          </w:tcPr>
          <w:p>
            <w:pPr>
              <w:spacing w:after="0" w:line="240" w:lineRule="auto"/>
            </w:pPr>
            <w:r>
              <w:rPr>
                <w:sz w:val="15"/>
              </w:rPr>
              <w:t>Стабильный residual regime</w:t>
            </w:r>
          </w:p>
        </w:tc>
        <w:tc>
          <w:tcPr>
            <w:tcW w:type="dxa" w:w="3096"/>
            <w:vAlign w:val="top"/>
            <w:tcMar>
              <w:top w:w="80" w:type="dxa"/>
              <w:start w:w="90" w:type="dxa"/>
              <w:bottom w:w="80" w:type="dxa"/>
              <w:end w:w="90" w:type="dxa"/>
            </w:tcMar>
          </w:tcPr>
          <w:p>
            <w:pPr>
              <w:spacing w:after="0" w:line="240" w:lineRule="auto"/>
            </w:pPr>
            <w:r>
              <w:rPr>
                <w:sz w:val="15"/>
              </w:rPr>
              <w:t>Marginal coverage при exchangeability</w:t>
            </w:r>
          </w:p>
        </w:tc>
        <w:tc>
          <w:tcPr>
            <w:tcW w:type="dxa" w:w="3384"/>
            <w:vAlign w:val="top"/>
            <w:tcMar>
              <w:top w:w="80" w:type="dxa"/>
              <w:start w:w="90" w:type="dxa"/>
              <w:bottom w:w="80" w:type="dxa"/>
              <w:end w:w="90" w:type="dxa"/>
            </w:tcMar>
          </w:tcPr>
          <w:p>
            <w:pPr>
              <w:spacing w:after="0" w:line="240" w:lineRule="auto"/>
            </w:pPr>
            <w:r>
              <w:rPr>
                <w:sz w:val="15"/>
              </w:rPr>
              <w:t>Отдельный calibration window; per-horizon scores</w:t>
            </w:r>
          </w:p>
        </w:tc>
      </w:tr>
      <w:tr>
        <w:trPr>
          <w:cantSplit/>
        </w:trPr>
        <w:tc>
          <w:tcPr>
            <w:tcW w:type="dxa" w:w="1728"/>
            <w:vAlign w:val="top"/>
            <w:tcMar>
              <w:top w:w="80" w:type="dxa"/>
              <w:start w:w="90" w:type="dxa"/>
              <w:bottom w:w="80" w:type="dxa"/>
              <w:end w:w="90" w:type="dxa"/>
            </w:tcMar>
            <w:shd w:fill="F3F6F8"/>
          </w:tcPr>
          <w:p>
            <w:pPr>
              <w:spacing w:after="0" w:line="240" w:lineRule="auto"/>
            </w:pPr>
            <w:r>
              <w:rPr>
                <w:sz w:val="15"/>
              </w:rPr>
              <w:t>CQR</w:t>
            </w:r>
          </w:p>
        </w:tc>
        <w:tc>
          <w:tcPr>
            <w:tcW w:type="dxa" w:w="2376"/>
            <w:vAlign w:val="top"/>
            <w:tcMar>
              <w:top w:w="80" w:type="dxa"/>
              <w:start w:w="90" w:type="dxa"/>
              <w:bottom w:w="80" w:type="dxa"/>
              <w:end w:w="90" w:type="dxa"/>
            </w:tcMar>
            <w:shd w:fill="F3F6F8"/>
          </w:tcPr>
          <w:p>
            <w:pPr>
              <w:spacing w:after="0" w:line="240" w:lineRule="auto"/>
            </w:pPr>
            <w:r>
              <w:rPr>
                <w:sz w:val="15"/>
              </w:rPr>
              <w:t>Heteroscedasticity</w:t>
            </w:r>
          </w:p>
        </w:tc>
        <w:tc>
          <w:tcPr>
            <w:tcW w:type="dxa" w:w="3096"/>
            <w:vAlign w:val="top"/>
            <w:tcMar>
              <w:top w:w="80" w:type="dxa"/>
              <w:start w:w="90" w:type="dxa"/>
              <w:bottom w:w="80" w:type="dxa"/>
              <w:end w:w="90" w:type="dxa"/>
            </w:tcMar>
            <w:shd w:fill="F3F6F8"/>
          </w:tcPr>
          <w:p>
            <w:pPr>
              <w:spacing w:after="0" w:line="240" w:lineRule="auto"/>
            </w:pPr>
            <w:r>
              <w:rPr>
                <w:sz w:val="15"/>
              </w:rPr>
              <w:t>Calibrated quantile interval</w:t>
            </w:r>
          </w:p>
        </w:tc>
        <w:tc>
          <w:tcPr>
            <w:tcW w:type="dxa" w:w="3384"/>
            <w:vAlign w:val="top"/>
            <w:tcMar>
              <w:top w:w="80" w:type="dxa"/>
              <w:start w:w="90" w:type="dxa"/>
              <w:bottom w:w="80" w:type="dxa"/>
              <w:end w:w="90" w:type="dxa"/>
            </w:tcMar>
            <w:shd w:fill="F3F6F8"/>
          </w:tcPr>
          <w:p>
            <w:pPr>
              <w:spacing w:after="0" w:line="240" w:lineRule="auto"/>
            </w:pPr>
            <w:r>
              <w:rPr>
                <w:sz w:val="15"/>
              </w:rPr>
              <w:t>Base q-low/q-high + conformal residual</w:t>
            </w:r>
          </w:p>
        </w:tc>
      </w:tr>
      <w:tr>
        <w:trPr>
          <w:cantSplit/>
        </w:trPr>
        <w:tc>
          <w:tcPr>
            <w:tcW w:type="dxa" w:w="1728"/>
            <w:vAlign w:val="top"/>
            <w:tcMar>
              <w:top w:w="80" w:type="dxa"/>
              <w:start w:w="90" w:type="dxa"/>
              <w:bottom w:w="80" w:type="dxa"/>
              <w:end w:w="90" w:type="dxa"/>
            </w:tcMar>
          </w:tcPr>
          <w:p>
            <w:pPr>
              <w:spacing w:after="0" w:line="240" w:lineRule="auto"/>
            </w:pPr>
            <w:r>
              <w:rPr>
                <w:sz w:val="15"/>
              </w:rPr>
              <w:t>EnbPI</w:t>
            </w:r>
          </w:p>
        </w:tc>
        <w:tc>
          <w:tcPr>
            <w:tcW w:type="dxa" w:w="2376"/>
            <w:vAlign w:val="top"/>
            <w:tcMar>
              <w:top w:w="80" w:type="dxa"/>
              <w:start w:w="90" w:type="dxa"/>
              <w:bottom w:w="80" w:type="dxa"/>
              <w:end w:w="90" w:type="dxa"/>
            </w:tcMar>
          </w:tcPr>
          <w:p>
            <w:pPr>
              <w:spacing w:after="0" w:line="240" w:lineRule="auto"/>
            </w:pPr>
            <w:r>
              <w:rPr>
                <w:sz w:val="15"/>
              </w:rPr>
              <w:t>Serial dependence</w:t>
            </w:r>
          </w:p>
        </w:tc>
        <w:tc>
          <w:tcPr>
            <w:tcW w:type="dxa" w:w="3096"/>
            <w:vAlign w:val="top"/>
            <w:tcMar>
              <w:top w:w="80" w:type="dxa"/>
              <w:start w:w="90" w:type="dxa"/>
              <w:bottom w:w="80" w:type="dxa"/>
              <w:end w:w="90" w:type="dxa"/>
            </w:tcMar>
          </w:tcPr>
          <w:p>
            <w:pPr>
              <w:spacing w:after="0" w:line="240" w:lineRule="auto"/>
            </w:pPr>
            <w:r>
              <w:rPr>
                <w:sz w:val="15"/>
              </w:rPr>
              <w:t>Approximate coverage under mixing assumptions</w:t>
            </w:r>
          </w:p>
        </w:tc>
        <w:tc>
          <w:tcPr>
            <w:tcW w:type="dxa" w:w="3384"/>
            <w:vAlign w:val="top"/>
            <w:tcMar>
              <w:top w:w="80" w:type="dxa"/>
              <w:start w:w="90" w:type="dxa"/>
              <w:bottom w:w="80" w:type="dxa"/>
              <w:end w:w="90" w:type="dxa"/>
            </w:tcMar>
          </w:tcPr>
          <w:p>
            <w:pPr>
              <w:spacing w:after="0" w:line="240" w:lineRule="auto"/>
            </w:pPr>
            <w:r>
              <w:rPr>
                <w:sz w:val="15"/>
              </w:rPr>
              <w:t>Block/bootstrap ensemble; online residual update</w:t>
            </w:r>
          </w:p>
        </w:tc>
      </w:tr>
      <w:tr>
        <w:trPr>
          <w:cantSplit/>
        </w:trPr>
        <w:tc>
          <w:tcPr>
            <w:tcW w:type="dxa" w:w="1728"/>
            <w:vAlign w:val="top"/>
            <w:tcMar>
              <w:top w:w="80" w:type="dxa"/>
              <w:start w:w="90" w:type="dxa"/>
              <w:bottom w:w="80" w:type="dxa"/>
              <w:end w:w="90" w:type="dxa"/>
            </w:tcMar>
            <w:shd w:fill="F3F6F8"/>
          </w:tcPr>
          <w:p>
            <w:pPr>
              <w:spacing w:after="0" w:line="240" w:lineRule="auto"/>
            </w:pPr>
            <w:r>
              <w:rPr>
                <w:sz w:val="15"/>
              </w:rPr>
              <w:t>ACI</w:t>
            </w:r>
          </w:p>
        </w:tc>
        <w:tc>
          <w:tcPr>
            <w:tcW w:type="dxa" w:w="2376"/>
            <w:vAlign w:val="top"/>
            <w:tcMar>
              <w:top w:w="80" w:type="dxa"/>
              <w:start w:w="90" w:type="dxa"/>
              <w:bottom w:w="80" w:type="dxa"/>
              <w:end w:w="90" w:type="dxa"/>
            </w:tcMar>
            <w:shd w:fill="F3F6F8"/>
          </w:tcPr>
          <w:p>
            <w:pPr>
              <w:spacing w:after="0" w:line="240" w:lineRule="auto"/>
            </w:pPr>
            <w:r>
              <w:rPr>
                <w:sz w:val="15"/>
              </w:rPr>
              <w:t>Дрейф coverage</w:t>
            </w:r>
          </w:p>
        </w:tc>
        <w:tc>
          <w:tcPr>
            <w:tcW w:type="dxa" w:w="3096"/>
            <w:vAlign w:val="top"/>
            <w:tcMar>
              <w:top w:w="80" w:type="dxa"/>
              <w:start w:w="90" w:type="dxa"/>
              <w:bottom w:w="80" w:type="dxa"/>
              <w:end w:w="90" w:type="dxa"/>
            </w:tcMar>
            <w:shd w:fill="F3F6F8"/>
          </w:tcPr>
          <w:p>
            <w:pPr>
              <w:spacing w:after="0" w:line="240" w:lineRule="auto"/>
            </w:pPr>
            <w:r>
              <w:rPr>
                <w:sz w:val="15"/>
              </w:rPr>
              <w:t>Long-run target coverage</w:t>
            </w:r>
          </w:p>
        </w:tc>
        <w:tc>
          <w:tcPr>
            <w:tcW w:type="dxa" w:w="3384"/>
            <w:vAlign w:val="top"/>
            <w:tcMar>
              <w:top w:w="80" w:type="dxa"/>
              <w:start w:w="90" w:type="dxa"/>
              <w:bottom w:w="80" w:type="dxa"/>
              <w:end w:w="90" w:type="dxa"/>
            </w:tcMar>
            <w:shd w:fill="F3F6F8"/>
          </w:tcPr>
          <w:p>
            <w:pPr>
              <w:spacing w:after="0" w:line="240" w:lineRule="auto"/>
            </w:pPr>
            <w:r>
              <w:rPr>
                <w:sz w:val="15"/>
              </w:rPr>
              <w:t>Learning rate для online alpha; safety bounds</w:t>
            </w:r>
          </w:p>
        </w:tc>
      </w:tr>
      <w:tr>
        <w:trPr>
          <w:cantSplit/>
        </w:trPr>
        <w:tc>
          <w:tcPr>
            <w:tcW w:type="dxa" w:w="1728"/>
            <w:vAlign w:val="top"/>
            <w:tcMar>
              <w:top w:w="80" w:type="dxa"/>
              <w:start w:w="90" w:type="dxa"/>
              <w:bottom w:w="80" w:type="dxa"/>
              <w:end w:w="90" w:type="dxa"/>
            </w:tcMar>
          </w:tcPr>
          <w:p>
            <w:pPr>
              <w:spacing w:after="0" w:line="240" w:lineRule="auto"/>
            </w:pPr>
            <w:r>
              <w:rPr>
                <w:sz w:val="15"/>
              </w:rPr>
              <w:t>Mondrian / grouped</w:t>
            </w:r>
          </w:p>
        </w:tc>
        <w:tc>
          <w:tcPr>
            <w:tcW w:type="dxa" w:w="2376"/>
            <w:vAlign w:val="top"/>
            <w:tcMar>
              <w:top w:w="80" w:type="dxa"/>
              <w:start w:w="90" w:type="dxa"/>
              <w:bottom w:w="80" w:type="dxa"/>
              <w:end w:w="90" w:type="dxa"/>
            </w:tcMar>
          </w:tcPr>
          <w:p>
            <w:pPr>
              <w:spacing w:after="0" w:line="240" w:lineRule="auto"/>
            </w:pPr>
            <w:r>
              <w:rPr>
                <w:sz w:val="15"/>
              </w:rPr>
              <w:t>Неоднородные сегменты</w:t>
            </w:r>
          </w:p>
        </w:tc>
        <w:tc>
          <w:tcPr>
            <w:tcW w:type="dxa" w:w="3096"/>
            <w:vAlign w:val="top"/>
            <w:tcMar>
              <w:top w:w="80" w:type="dxa"/>
              <w:start w:w="90" w:type="dxa"/>
              <w:bottom w:w="80" w:type="dxa"/>
              <w:end w:w="90" w:type="dxa"/>
            </w:tcMar>
          </w:tcPr>
          <w:p>
            <w:pPr>
              <w:spacing w:after="0" w:line="240" w:lineRule="auto"/>
            </w:pPr>
            <w:r>
              <w:rPr>
                <w:sz w:val="15"/>
              </w:rPr>
              <w:t>Conditional-like group calibration</w:t>
            </w:r>
          </w:p>
        </w:tc>
        <w:tc>
          <w:tcPr>
            <w:tcW w:type="dxa" w:w="3384"/>
            <w:vAlign w:val="top"/>
            <w:tcMar>
              <w:top w:w="80" w:type="dxa"/>
              <w:start w:w="90" w:type="dxa"/>
              <w:bottom w:w="80" w:type="dxa"/>
              <w:end w:w="90" w:type="dxa"/>
            </w:tcMar>
          </w:tcPr>
          <w:p>
            <w:pPr>
              <w:spacing w:after="0" w:line="240" w:lineRule="auto"/>
            </w:pPr>
            <w:r>
              <w:rPr>
                <w:sz w:val="15"/>
              </w:rPr>
              <w:t>Минимальный sample size; shrinkage/fallback</w:t>
            </w:r>
          </w:p>
        </w:tc>
      </w:tr>
    </w:tbl>
    <w:p>
      <w:pPr>
        <w:spacing w:after="0"/>
      </w:pPr>
    </w:p>
    <w:p>
      <w:pPr>
        <w:pStyle w:val="Heading2"/>
      </w:pPr>
      <w:r>
        <w:t>7.3. Уверенность в превосходстве модели</w:t>
      </w:r>
    </w:p>
    <w:p>
      <w:pPr>
        <w:spacing w:after="80"/>
        <w:ind w:left="374" w:hanging="317"/>
      </w:pPr>
      <w:r>
        <w:t>1.  Сформировать loss tensor: series × origin × horizon × model. Не усреднять до статистического теста.</w:t>
      </w:r>
    </w:p>
    <w:p>
      <w:pPr>
        <w:spacing w:after="80"/>
        <w:ind w:left="374" w:hanging="317"/>
      </w:pPr>
      <w:r>
        <w:t>2.  Рассчитать paired loss differential к baseline; resample блоками по времени и, для panel data, кластерами по series.</w:t>
      </w:r>
    </w:p>
    <w:p>
      <w:pPr>
        <w:spacing w:after="80"/>
        <w:ind w:left="374" w:hanging="317"/>
      </w:pPr>
      <w:r>
        <w:t>3.  Показать point delta, 95% block-bootstrap CI, win rate и probability of material improvement. Практический порог задаётся до эксперимента.</w:t>
      </w:r>
    </w:p>
    <w:p>
      <w:pPr>
        <w:spacing w:after="80"/>
        <w:ind w:left="374" w:hanging="317"/>
      </w:pPr>
      <w:r>
        <w:t>4.  Для двух заранее выбранных методов применить Diebold–Mariano с HAC variance или block-bootstrap alternative; overlapping multi-step errors делают IID standard errors неверными.</w:t>
      </w:r>
    </w:p>
    <w:p>
      <w:pPr>
        <w:spacing w:after="80"/>
        <w:ind w:left="374" w:hanging="317"/>
      </w:pPr>
      <w:r>
        <w:t>5.  Для турнира многих моделей применить Model Confidence Set, а не десятки некорректированных pairwise p-values. В MCS остаются методы, статистически неотличимые от лучшего при заданном α.</w:t>
      </w:r>
    </w:p>
    <w:p>
      <w:pPr>
        <w:spacing w:after="80"/>
        <w:ind w:left="374" w:hanging="317"/>
      </w:pPr>
      <w:r>
        <w:t>6.  Повторить анализ по horizon buckets и бизнес-сегментам; global win не компенсирует провал на критичном сегменте.</w:t>
      </w:r>
    </w:p>
    <w:p>
      <w:pPr>
        <w:widowControl/>
      </w:pPr>
      <w:r>
        <w:t>Diebold–Mariano тестирует равную ожидаемую predictive accuracy двух методов по последовательности разностей потерь. Model Confidence Set расширяет идею на множество кандидатов и возвращает набор моделей, содержащий лучшую с заданным уровнем confidence; при слабой информации набор закономерно остаётся широким.</w:t>
      </w:r>
      <w:r>
        <w:footnoteReference w:id="39"/>
      </w:r>
      <w:r>
        <w:footnoteReference w:id="38"/>
      </w:r>
    </w:p>
    <w:p>
      <w:pPr>
        <w:pStyle w:val="Heading2"/>
      </w:pPr>
      <w:r>
        <w:t>7.4. Рекомендуемая таблица каждого эксперимента</w:t>
      </w:r>
    </w:p>
    <w:tbl>
      <w:tblPr>
        <w:tblStyle w:val="TableGrid"/>
        <w:tblW w:type="auto" w:w="0"/>
        <w:jc w:val="center"/>
        <w:tblLayout w:type="fixed"/>
        <w:tblLook w:firstColumn="1" w:firstRow="1" w:lastColumn="0" w:lastRow="0" w:noHBand="0" w:noVBand="1" w:val="04A0"/>
      </w:tblPr>
      <w:tblGrid>
        <w:gridCol w:w="5083"/>
        <w:gridCol w:w="5083"/>
      </w:tblGrid>
      <w:tr>
        <w:trPr>
          <w:tblHeader w:val="true"/>
        </w:trPr>
        <w:tc>
          <w:tcPr>
            <w:tcW w:type="dxa" w:w="1944"/>
            <w:shd w:fill="16324F"/>
            <w:vAlign w:val="center"/>
            <w:tcMar>
              <w:top w:w="80" w:type="dxa"/>
              <w:start w:w="90" w:type="dxa"/>
              <w:bottom w:w="80" w:type="dxa"/>
              <w:end w:w="90" w:type="dxa"/>
            </w:tcMar>
          </w:tcPr>
          <w:p>
            <w:pPr>
              <w:spacing w:after="0"/>
            </w:pPr>
            <w:r>
              <w:rPr>
                <w:b/>
                <w:color w:val="FFFFFF"/>
                <w:sz w:val="15"/>
              </w:rPr>
              <w:t>Слой</w:t>
            </w:r>
          </w:p>
        </w:tc>
        <w:tc>
          <w:tcPr>
            <w:tcW w:type="dxa" w:w="8568"/>
            <w:shd w:fill="16324F"/>
            <w:vAlign w:val="center"/>
            <w:tcMar>
              <w:top w:w="80" w:type="dxa"/>
              <w:start w:w="90" w:type="dxa"/>
              <w:bottom w:w="80" w:type="dxa"/>
              <w:end w:w="90" w:type="dxa"/>
            </w:tcMar>
          </w:tcPr>
          <w:p>
            <w:pPr>
              <w:spacing w:after="0"/>
            </w:pPr>
            <w:r>
              <w:rPr>
                <w:b/>
                <w:color w:val="FFFFFF"/>
                <w:sz w:val="15"/>
              </w:rPr>
              <w:t>Обязательные поля</w:t>
            </w:r>
          </w:p>
        </w:tc>
      </w:tr>
      <w:tr>
        <w:trPr>
          <w:cantSplit/>
        </w:trPr>
        <w:tc>
          <w:tcPr>
            <w:tcW w:type="dxa" w:w="1944"/>
            <w:vAlign w:val="top"/>
            <w:tcMar>
              <w:top w:w="80" w:type="dxa"/>
              <w:start w:w="90" w:type="dxa"/>
              <w:bottom w:w="80" w:type="dxa"/>
              <w:end w:w="90" w:type="dxa"/>
            </w:tcMar>
          </w:tcPr>
          <w:p>
            <w:pPr>
              <w:spacing w:after="0" w:line="240" w:lineRule="auto"/>
            </w:pPr>
            <w:r>
              <w:rPr>
                <w:sz w:val="15"/>
              </w:rPr>
              <w:t>Point</w:t>
            </w:r>
          </w:p>
        </w:tc>
        <w:tc>
          <w:tcPr>
            <w:tcW w:type="dxa" w:w="8568"/>
            <w:vAlign w:val="top"/>
            <w:tcMar>
              <w:top w:w="80" w:type="dxa"/>
              <w:start w:w="90" w:type="dxa"/>
              <w:bottom w:w="80" w:type="dxa"/>
              <w:end w:w="90" w:type="dxa"/>
            </w:tcMar>
          </w:tcPr>
          <w:p>
            <w:pPr>
              <w:spacing w:after="0" w:line="240" w:lineRule="auto"/>
            </w:pPr>
            <w:r>
              <w:rPr>
                <w:sz w:val="15"/>
              </w:rPr>
              <w:t>MASE, RMSSE, MAE/RMSE или business loss; median по series; p90-series error</w:t>
            </w:r>
          </w:p>
        </w:tc>
      </w:tr>
      <w:tr>
        <w:trPr>
          <w:cantSplit/>
        </w:trPr>
        <w:tc>
          <w:tcPr>
            <w:tcW w:type="dxa" w:w="1944"/>
            <w:vAlign w:val="top"/>
            <w:tcMar>
              <w:top w:w="80" w:type="dxa"/>
              <w:start w:w="90" w:type="dxa"/>
              <w:bottom w:w="80" w:type="dxa"/>
              <w:end w:w="90" w:type="dxa"/>
            </w:tcMar>
            <w:shd w:fill="F3F6F8"/>
          </w:tcPr>
          <w:p>
            <w:pPr>
              <w:spacing w:after="0" w:line="240" w:lineRule="auto"/>
            </w:pPr>
            <w:r>
              <w:rPr>
                <w:sz w:val="15"/>
              </w:rPr>
              <w:t>Probabilistic</w:t>
            </w:r>
          </w:p>
        </w:tc>
        <w:tc>
          <w:tcPr>
            <w:tcW w:type="dxa" w:w="8568"/>
            <w:vAlign w:val="top"/>
            <w:tcMar>
              <w:top w:w="80" w:type="dxa"/>
              <w:start w:w="90" w:type="dxa"/>
              <w:bottom w:w="80" w:type="dxa"/>
              <w:end w:w="90" w:type="dxa"/>
            </w:tcMar>
            <w:shd w:fill="F3F6F8"/>
          </w:tcPr>
          <w:p>
            <w:pPr>
              <w:spacing w:after="0" w:line="240" w:lineRule="auto"/>
            </w:pPr>
            <w:r>
              <w:rPr>
                <w:sz w:val="15"/>
              </w:rPr>
              <w:t>CRPS или WIS; pinball по quantiles; coverage 50/80/90/95%; width; crossing rate</w:t>
            </w:r>
          </w:p>
        </w:tc>
      </w:tr>
      <w:tr>
        <w:trPr>
          <w:cantSplit/>
        </w:trPr>
        <w:tc>
          <w:tcPr>
            <w:tcW w:type="dxa" w:w="1944"/>
            <w:vAlign w:val="top"/>
            <w:tcMar>
              <w:top w:w="80" w:type="dxa"/>
              <w:start w:w="90" w:type="dxa"/>
              <w:bottom w:w="80" w:type="dxa"/>
              <w:end w:w="90" w:type="dxa"/>
            </w:tcMar>
          </w:tcPr>
          <w:p>
            <w:pPr>
              <w:spacing w:after="0" w:line="240" w:lineRule="auto"/>
            </w:pPr>
            <w:r>
              <w:rPr>
                <w:sz w:val="15"/>
              </w:rPr>
              <w:t>Статистика</w:t>
            </w:r>
          </w:p>
        </w:tc>
        <w:tc>
          <w:tcPr>
            <w:tcW w:type="dxa" w:w="8568"/>
            <w:vAlign w:val="top"/>
            <w:tcMar>
              <w:top w:w="80" w:type="dxa"/>
              <w:start w:w="90" w:type="dxa"/>
              <w:bottom w:w="80" w:type="dxa"/>
              <w:end w:w="90" w:type="dxa"/>
            </w:tcMar>
          </w:tcPr>
          <w:p>
            <w:pPr>
              <w:spacing w:after="0" w:line="240" w:lineRule="auto"/>
            </w:pPr>
            <w:r>
              <w:rPr>
                <w:sz w:val="15"/>
              </w:rPr>
              <w:t>Δ к baseline; 95% block-bootstrap CI; DM p-value для pre-specified пары; MCS membership</w:t>
            </w:r>
          </w:p>
        </w:tc>
      </w:tr>
      <w:tr>
        <w:trPr>
          <w:cantSplit/>
        </w:trPr>
        <w:tc>
          <w:tcPr>
            <w:tcW w:type="dxa" w:w="1944"/>
            <w:vAlign w:val="top"/>
            <w:tcMar>
              <w:top w:w="80" w:type="dxa"/>
              <w:start w:w="90" w:type="dxa"/>
              <w:bottom w:w="80" w:type="dxa"/>
              <w:end w:w="90" w:type="dxa"/>
            </w:tcMar>
            <w:shd w:fill="F3F6F8"/>
          </w:tcPr>
          <w:p>
            <w:pPr>
              <w:spacing w:after="0" w:line="240" w:lineRule="auto"/>
            </w:pPr>
            <w:r>
              <w:rPr>
                <w:sz w:val="15"/>
              </w:rPr>
              <w:t>Robustness</w:t>
            </w:r>
          </w:p>
        </w:tc>
        <w:tc>
          <w:tcPr>
            <w:tcW w:type="dxa" w:w="8568"/>
            <w:vAlign w:val="top"/>
            <w:tcMar>
              <w:top w:w="80" w:type="dxa"/>
              <w:start w:w="90" w:type="dxa"/>
              <w:bottom w:w="80" w:type="dxa"/>
              <w:end w:w="90" w:type="dxa"/>
            </w:tcMar>
            <w:shd w:fill="F3F6F8"/>
          </w:tcPr>
          <w:p>
            <w:pPr>
              <w:spacing w:after="0" w:line="240" w:lineRule="auto"/>
            </w:pPr>
            <w:r>
              <w:rPr>
                <w:sz w:val="15"/>
              </w:rPr>
              <w:t>Short/medium/long horizon; sparse/dense; scale bands; regime; covariate availability</w:t>
            </w:r>
          </w:p>
        </w:tc>
      </w:tr>
      <w:tr>
        <w:trPr>
          <w:cantSplit/>
        </w:trPr>
        <w:tc>
          <w:tcPr>
            <w:tcW w:type="dxa" w:w="1944"/>
            <w:vAlign w:val="top"/>
            <w:tcMar>
              <w:top w:w="80" w:type="dxa"/>
              <w:start w:w="90" w:type="dxa"/>
              <w:bottom w:w="80" w:type="dxa"/>
              <w:end w:w="90" w:type="dxa"/>
            </w:tcMar>
          </w:tcPr>
          <w:p>
            <w:pPr>
              <w:spacing w:after="0" w:line="240" w:lineRule="auto"/>
            </w:pPr>
            <w:r>
              <w:rPr>
                <w:sz w:val="15"/>
              </w:rPr>
              <w:t>Systems</w:t>
            </w:r>
          </w:p>
        </w:tc>
        <w:tc>
          <w:tcPr>
            <w:tcW w:type="dxa" w:w="8568"/>
            <w:vAlign w:val="top"/>
            <w:tcMar>
              <w:top w:w="80" w:type="dxa"/>
              <w:start w:w="90" w:type="dxa"/>
              <w:bottom w:w="80" w:type="dxa"/>
              <w:end w:w="90" w:type="dxa"/>
            </w:tcMar>
          </w:tcPr>
          <w:p>
            <w:pPr>
              <w:spacing w:after="0" w:line="240" w:lineRule="auto"/>
            </w:pPr>
            <w:r>
              <w:rPr>
                <w:sz w:val="15"/>
              </w:rPr>
              <w:t>Wall time, peak RAM/VRAM, model size, batch throughput, cold-start latency, failures</w:t>
            </w:r>
          </w:p>
        </w:tc>
      </w:tr>
      <w:tr>
        <w:trPr>
          <w:cantSplit/>
        </w:trPr>
        <w:tc>
          <w:tcPr>
            <w:tcW w:type="dxa" w:w="1944"/>
            <w:vAlign w:val="top"/>
            <w:tcMar>
              <w:top w:w="80" w:type="dxa"/>
              <w:start w:w="90" w:type="dxa"/>
              <w:bottom w:w="80" w:type="dxa"/>
              <w:end w:w="90" w:type="dxa"/>
            </w:tcMar>
            <w:shd w:fill="F3F6F8"/>
          </w:tcPr>
          <w:p>
            <w:pPr>
              <w:spacing w:after="0" w:line="240" w:lineRule="auto"/>
            </w:pPr>
            <w:r>
              <w:rPr>
                <w:sz w:val="15"/>
              </w:rPr>
              <w:t>Governance</w:t>
            </w:r>
          </w:p>
        </w:tc>
        <w:tc>
          <w:tcPr>
            <w:tcW w:type="dxa" w:w="8568"/>
            <w:vAlign w:val="top"/>
            <w:tcMar>
              <w:top w:w="80" w:type="dxa"/>
              <w:start w:w="90" w:type="dxa"/>
              <w:bottom w:w="80" w:type="dxa"/>
              <w:end w:w="90" w:type="dxa"/>
            </w:tcMar>
            <w:shd w:fill="F3F6F8"/>
          </w:tcPr>
          <w:p>
            <w:pPr>
              <w:spacing w:after="0" w:line="240" w:lineRule="auto"/>
            </w:pPr>
            <w:r>
              <w:rPr>
                <w:sz w:val="15"/>
              </w:rPr>
              <w:t>Data hash, cutoff, code commit, model/weight license, seed, environment lock, leakage checks</w:t>
            </w:r>
          </w:p>
        </w:tc>
      </w:tr>
    </w:tbl>
    <w:p>
      <w:pPr>
        <w:spacing w:after="0"/>
      </w:pPr>
    </w:p>
    <w:p>
      <w:pPr>
        <w:pStyle w:val="Heading1"/>
      </w:pPr>
      <w:r>
        <w:t>8. Референсная архитектура</w:t>
      </w:r>
    </w:p>
    <w:tbl>
      <w:tblPr>
        <w:tblStyle w:val="TableGrid"/>
        <w:tblW w:type="auto" w:w="0"/>
        <w:jc w:val="center"/>
        <w:tblLayout w:type="fixed"/>
        <w:tblLook w:firstColumn="1" w:firstRow="1" w:lastColumn="0" w:lastRow="0" w:noHBand="0" w:noVBand="1" w:val="04A0"/>
      </w:tblPr>
      <w:tblGrid>
        <w:gridCol w:w="3389"/>
        <w:gridCol w:w="3389"/>
        <w:gridCol w:w="3389"/>
      </w:tblGrid>
      <w:tr>
        <w:trPr>
          <w:tblHeader w:val="true"/>
        </w:trPr>
        <w:tc>
          <w:tcPr>
            <w:tcW w:type="dxa" w:w="2160"/>
            <w:shd w:fill="16324F"/>
            <w:vAlign w:val="center"/>
            <w:tcMar>
              <w:top w:w="80" w:type="dxa"/>
              <w:start w:w="90" w:type="dxa"/>
              <w:bottom w:w="80" w:type="dxa"/>
              <w:end w:w="90" w:type="dxa"/>
            </w:tcMar>
          </w:tcPr>
          <w:p>
            <w:pPr>
              <w:spacing w:after="0"/>
            </w:pPr>
            <w:r>
              <w:rPr>
                <w:b/>
                <w:color w:val="FFFFFF"/>
                <w:sz w:val="15"/>
              </w:rPr>
              <w:t>Компонент</w:t>
            </w:r>
          </w:p>
        </w:tc>
        <w:tc>
          <w:tcPr>
            <w:tcW w:type="dxa" w:w="3672"/>
            <w:shd w:fill="16324F"/>
            <w:vAlign w:val="center"/>
            <w:tcMar>
              <w:top w:w="80" w:type="dxa"/>
              <w:start w:w="90" w:type="dxa"/>
              <w:bottom w:w="80" w:type="dxa"/>
              <w:end w:w="90" w:type="dxa"/>
            </w:tcMar>
          </w:tcPr>
          <w:p>
            <w:pPr>
              <w:spacing w:after="0"/>
            </w:pPr>
            <w:r>
              <w:rPr>
                <w:b/>
                <w:color w:val="FFFFFF"/>
                <w:sz w:val="15"/>
              </w:rPr>
              <w:t>Ответственность</w:t>
            </w:r>
          </w:p>
        </w:tc>
        <w:tc>
          <w:tcPr>
            <w:tcW w:type="dxa" w:w="4680"/>
            <w:shd w:fill="16324F"/>
            <w:vAlign w:val="center"/>
            <w:tcMar>
              <w:top w:w="80" w:type="dxa"/>
              <w:start w:w="90" w:type="dxa"/>
              <w:bottom w:w="80" w:type="dxa"/>
              <w:end w:w="90" w:type="dxa"/>
            </w:tcMar>
          </w:tcPr>
          <w:p>
            <w:pPr>
              <w:spacing w:after="0"/>
            </w:pPr>
            <w:r>
              <w:rPr>
                <w:b/>
                <w:color w:val="FFFFFF"/>
                <w:sz w:val="15"/>
              </w:rPr>
              <w:t>Рекомендуемая реализация</w:t>
            </w:r>
          </w:p>
        </w:tc>
      </w:tr>
      <w:tr>
        <w:trPr>
          <w:cantSplit/>
        </w:trPr>
        <w:tc>
          <w:tcPr>
            <w:tcW w:type="dxa" w:w="2160"/>
            <w:vAlign w:val="top"/>
            <w:tcMar>
              <w:top w:w="80" w:type="dxa"/>
              <w:start w:w="90" w:type="dxa"/>
              <w:bottom w:w="80" w:type="dxa"/>
              <w:end w:w="90" w:type="dxa"/>
            </w:tcMar>
          </w:tcPr>
          <w:p>
            <w:pPr>
              <w:spacing w:after="0" w:line="240" w:lineRule="auto"/>
            </w:pPr>
            <w:r>
              <w:rPr>
                <w:sz w:val="15"/>
              </w:rPr>
              <w:t>Point-in-time dataset</w:t>
            </w:r>
          </w:p>
        </w:tc>
        <w:tc>
          <w:tcPr>
            <w:tcW w:type="dxa" w:w="3672"/>
            <w:vAlign w:val="top"/>
            <w:tcMar>
              <w:top w:w="80" w:type="dxa"/>
              <w:start w:w="90" w:type="dxa"/>
              <w:bottom w:w="80" w:type="dxa"/>
              <w:end w:w="90" w:type="dxa"/>
            </w:tcMar>
          </w:tcPr>
          <w:p>
            <w:pPr>
              <w:spacing w:after="0" w:line="240" w:lineRule="auto"/>
            </w:pPr>
            <w:r>
              <w:rPr>
                <w:sz w:val="15"/>
              </w:rPr>
              <w:t>Snapshots, availability timestamps, revisions, hierarchy</w:t>
            </w:r>
          </w:p>
        </w:tc>
        <w:tc>
          <w:tcPr>
            <w:tcW w:type="dxa" w:w="4680"/>
            <w:vAlign w:val="top"/>
            <w:tcMar>
              <w:top w:w="80" w:type="dxa"/>
              <w:start w:w="90" w:type="dxa"/>
              <w:bottom w:w="80" w:type="dxa"/>
              <w:end w:w="90" w:type="dxa"/>
            </w:tcMar>
          </w:tcPr>
          <w:p>
            <w:pPr>
              <w:spacing w:after="0" w:line="240" w:lineRule="auto"/>
            </w:pPr>
            <w:r>
              <w:rPr>
                <w:sz w:val="15"/>
              </w:rPr>
              <w:t>Parquet/Delta/Iceberg + dbt tests + DVC/hash manifest</w:t>
            </w:r>
          </w:p>
        </w:tc>
      </w:tr>
      <w:tr>
        <w:trPr>
          <w:cantSplit/>
        </w:trPr>
        <w:tc>
          <w:tcPr>
            <w:tcW w:type="dxa" w:w="2160"/>
            <w:vAlign w:val="top"/>
            <w:tcMar>
              <w:top w:w="80" w:type="dxa"/>
              <w:start w:w="90" w:type="dxa"/>
              <w:bottom w:w="80" w:type="dxa"/>
              <w:end w:w="90" w:type="dxa"/>
            </w:tcMar>
            <w:shd w:fill="F3F6F8"/>
          </w:tcPr>
          <w:p>
            <w:pPr>
              <w:spacing w:after="0" w:line="240" w:lineRule="auto"/>
            </w:pPr>
            <w:r>
              <w:rPr>
                <w:sz w:val="15"/>
              </w:rPr>
              <w:t>Backtest engine</w:t>
            </w:r>
          </w:p>
        </w:tc>
        <w:tc>
          <w:tcPr>
            <w:tcW w:type="dxa" w:w="3672"/>
            <w:vAlign w:val="top"/>
            <w:tcMar>
              <w:top w:w="80" w:type="dxa"/>
              <w:start w:w="90" w:type="dxa"/>
              <w:bottom w:w="80" w:type="dxa"/>
              <w:end w:w="90" w:type="dxa"/>
            </w:tcMar>
            <w:shd w:fill="F3F6F8"/>
          </w:tcPr>
          <w:p>
            <w:pPr>
              <w:spacing w:after="0" w:line="240" w:lineRule="auto"/>
            </w:pPr>
            <w:r>
              <w:rPr>
                <w:sz w:val="15"/>
              </w:rPr>
              <w:t>Rolling origins, gaps, horizons, segmentation</w:t>
            </w:r>
          </w:p>
        </w:tc>
        <w:tc>
          <w:tcPr>
            <w:tcW w:type="dxa" w:w="4680"/>
            <w:vAlign w:val="top"/>
            <w:tcMar>
              <w:top w:w="80" w:type="dxa"/>
              <w:start w:w="90" w:type="dxa"/>
              <w:bottom w:w="80" w:type="dxa"/>
              <w:end w:w="90" w:type="dxa"/>
            </w:tcMar>
            <w:shd w:fill="F3F6F8"/>
          </w:tcPr>
          <w:p>
            <w:pPr>
              <w:spacing w:after="0" w:line="240" w:lineRule="auto"/>
            </w:pPr>
            <w:r>
              <w:rPr>
                <w:sz w:val="15"/>
              </w:rPr>
              <w:t>AutoGluon/sktime/Nixtla wrapper; immutable evaluator</w:t>
            </w:r>
          </w:p>
        </w:tc>
      </w:tr>
      <w:tr>
        <w:trPr>
          <w:cantSplit/>
        </w:trPr>
        <w:tc>
          <w:tcPr>
            <w:tcW w:type="dxa" w:w="2160"/>
            <w:vAlign w:val="top"/>
            <w:tcMar>
              <w:top w:w="80" w:type="dxa"/>
              <w:start w:w="90" w:type="dxa"/>
              <w:bottom w:w="80" w:type="dxa"/>
              <w:end w:w="90" w:type="dxa"/>
            </w:tcMar>
          </w:tcPr>
          <w:p>
            <w:pPr>
              <w:spacing w:after="0" w:line="240" w:lineRule="auto"/>
            </w:pPr>
            <w:r>
              <w:rPr>
                <w:sz w:val="15"/>
              </w:rPr>
              <w:t>Model registry</w:t>
            </w:r>
          </w:p>
        </w:tc>
        <w:tc>
          <w:tcPr>
            <w:tcW w:type="dxa" w:w="3672"/>
            <w:vAlign w:val="top"/>
            <w:tcMar>
              <w:top w:w="80" w:type="dxa"/>
              <w:start w:w="90" w:type="dxa"/>
              <w:bottom w:w="80" w:type="dxa"/>
              <w:end w:w="90" w:type="dxa"/>
            </w:tcMar>
          </w:tcPr>
          <w:p>
            <w:pPr>
              <w:spacing w:after="0" w:line="240" w:lineRule="auto"/>
            </w:pPr>
            <w:r>
              <w:rPr>
                <w:sz w:val="15"/>
              </w:rPr>
              <w:t>Classical, GBM, deep, TSFM adapters</w:t>
            </w:r>
          </w:p>
        </w:tc>
        <w:tc>
          <w:tcPr>
            <w:tcW w:type="dxa" w:w="4680"/>
            <w:vAlign w:val="top"/>
            <w:tcMar>
              <w:top w:w="80" w:type="dxa"/>
              <w:start w:w="90" w:type="dxa"/>
              <w:bottom w:w="80" w:type="dxa"/>
              <w:end w:w="90" w:type="dxa"/>
            </w:tcMar>
          </w:tcPr>
          <w:p>
            <w:pPr>
              <w:spacing w:after="0" w:line="240" w:lineRule="auto"/>
            </w:pPr>
            <w:r>
              <w:rPr>
                <w:sz w:val="15"/>
              </w:rPr>
              <w:t>MLflow registry + model cards + license metadata</w:t>
            </w:r>
          </w:p>
        </w:tc>
      </w:tr>
      <w:tr>
        <w:trPr>
          <w:cantSplit/>
        </w:trPr>
        <w:tc>
          <w:tcPr>
            <w:tcW w:type="dxa" w:w="2160"/>
            <w:vAlign w:val="top"/>
            <w:tcMar>
              <w:top w:w="80" w:type="dxa"/>
              <w:start w:w="90" w:type="dxa"/>
              <w:bottom w:w="80" w:type="dxa"/>
              <w:end w:w="90" w:type="dxa"/>
            </w:tcMar>
            <w:shd w:fill="F3F6F8"/>
          </w:tcPr>
          <w:p>
            <w:pPr>
              <w:spacing w:after="0" w:line="240" w:lineRule="auto"/>
            </w:pPr>
            <w:r>
              <w:rPr>
                <w:sz w:val="15"/>
              </w:rPr>
              <w:t>Autoresearch agent</w:t>
            </w:r>
          </w:p>
        </w:tc>
        <w:tc>
          <w:tcPr>
            <w:tcW w:type="dxa" w:w="3672"/>
            <w:vAlign w:val="top"/>
            <w:tcMar>
              <w:top w:w="80" w:type="dxa"/>
              <w:start w:w="90" w:type="dxa"/>
              <w:bottom w:w="80" w:type="dxa"/>
              <w:end w:w="90" w:type="dxa"/>
            </w:tcMar>
            <w:shd w:fill="F3F6F8"/>
          </w:tcPr>
          <w:p>
            <w:pPr>
              <w:spacing w:after="0" w:line="240" w:lineRule="auto"/>
            </w:pPr>
            <w:r>
              <w:rPr>
                <w:sz w:val="15"/>
              </w:rPr>
              <w:t>Hypothesis → patch → run → report</w:t>
            </w:r>
          </w:p>
        </w:tc>
        <w:tc>
          <w:tcPr>
            <w:tcW w:type="dxa" w:w="4680"/>
            <w:vAlign w:val="top"/>
            <w:tcMar>
              <w:top w:w="80" w:type="dxa"/>
              <w:start w:w="90" w:type="dxa"/>
              <w:bottom w:w="80" w:type="dxa"/>
              <w:end w:w="90" w:type="dxa"/>
            </w:tcMar>
            <w:shd w:fill="F3F6F8"/>
          </w:tcPr>
          <w:p>
            <w:pPr>
              <w:spacing w:after="0" w:line="240" w:lineRule="auto"/>
            </w:pPr>
            <w:r>
              <w:rPr>
                <w:sz w:val="15"/>
              </w:rPr>
              <w:t>Codex/Claude in container; allowlisted commands; budget</w:t>
            </w:r>
          </w:p>
        </w:tc>
      </w:tr>
      <w:tr>
        <w:trPr>
          <w:cantSplit/>
        </w:trPr>
        <w:tc>
          <w:tcPr>
            <w:tcW w:type="dxa" w:w="2160"/>
            <w:vAlign w:val="top"/>
            <w:tcMar>
              <w:top w:w="80" w:type="dxa"/>
              <w:start w:w="90" w:type="dxa"/>
              <w:bottom w:w="80" w:type="dxa"/>
              <w:end w:w="90" w:type="dxa"/>
            </w:tcMar>
          </w:tcPr>
          <w:p>
            <w:pPr>
              <w:spacing w:after="0" w:line="240" w:lineRule="auto"/>
            </w:pPr>
            <w:r>
              <w:rPr>
                <w:sz w:val="15"/>
              </w:rPr>
              <w:t>Probabilistic layer</w:t>
            </w:r>
          </w:p>
        </w:tc>
        <w:tc>
          <w:tcPr>
            <w:tcW w:type="dxa" w:w="3672"/>
            <w:vAlign w:val="top"/>
            <w:tcMar>
              <w:top w:w="80" w:type="dxa"/>
              <w:start w:w="90" w:type="dxa"/>
              <w:bottom w:w="80" w:type="dxa"/>
              <w:end w:w="90" w:type="dxa"/>
            </w:tcMar>
          </w:tcPr>
          <w:p>
            <w:pPr>
              <w:spacing w:after="0" w:line="240" w:lineRule="auto"/>
            </w:pPr>
            <w:r>
              <w:rPr>
                <w:sz w:val="15"/>
              </w:rPr>
              <w:t>Quantiles, samples, conformal calibration</w:t>
            </w:r>
          </w:p>
        </w:tc>
        <w:tc>
          <w:tcPr>
            <w:tcW w:type="dxa" w:w="4680"/>
            <w:vAlign w:val="top"/>
            <w:tcMar>
              <w:top w:w="80" w:type="dxa"/>
              <w:start w:w="90" w:type="dxa"/>
              <w:bottom w:w="80" w:type="dxa"/>
              <w:end w:w="90" w:type="dxa"/>
            </w:tcMar>
          </w:tcPr>
          <w:p>
            <w:pPr>
              <w:spacing w:after="0" w:line="240" w:lineRule="auto"/>
            </w:pPr>
            <w:r>
              <w:rPr>
                <w:sz w:val="15"/>
              </w:rPr>
              <w:t>Native head + CQR/EnbPI/ACI fallback</w:t>
            </w:r>
          </w:p>
        </w:tc>
      </w:tr>
      <w:tr>
        <w:trPr>
          <w:cantSplit/>
        </w:trPr>
        <w:tc>
          <w:tcPr>
            <w:tcW w:type="dxa" w:w="2160"/>
            <w:vAlign w:val="top"/>
            <w:tcMar>
              <w:top w:w="80" w:type="dxa"/>
              <w:start w:w="90" w:type="dxa"/>
              <w:bottom w:w="80" w:type="dxa"/>
              <w:end w:w="90" w:type="dxa"/>
            </w:tcMar>
            <w:shd w:fill="F3F6F8"/>
          </w:tcPr>
          <w:p>
            <w:pPr>
              <w:spacing w:after="0" w:line="240" w:lineRule="auto"/>
            </w:pPr>
            <w:r>
              <w:rPr>
                <w:sz w:val="15"/>
              </w:rPr>
              <w:t>Statistical gate</w:t>
            </w:r>
          </w:p>
        </w:tc>
        <w:tc>
          <w:tcPr>
            <w:tcW w:type="dxa" w:w="3672"/>
            <w:vAlign w:val="top"/>
            <w:tcMar>
              <w:top w:w="80" w:type="dxa"/>
              <w:start w:w="90" w:type="dxa"/>
              <w:bottom w:w="80" w:type="dxa"/>
              <w:end w:w="90" w:type="dxa"/>
            </w:tcMar>
            <w:shd w:fill="F3F6F8"/>
          </w:tcPr>
          <w:p>
            <w:pPr>
              <w:spacing w:after="0" w:line="240" w:lineRule="auto"/>
            </w:pPr>
            <w:r>
              <w:rPr>
                <w:sz w:val="15"/>
              </w:rPr>
              <w:t>Block bootstrap, DM, MCS, practical threshold</w:t>
            </w:r>
          </w:p>
        </w:tc>
        <w:tc>
          <w:tcPr>
            <w:tcW w:type="dxa" w:w="4680"/>
            <w:vAlign w:val="top"/>
            <w:tcMar>
              <w:top w:w="80" w:type="dxa"/>
              <w:start w:w="90" w:type="dxa"/>
              <w:bottom w:w="80" w:type="dxa"/>
              <w:end w:w="90" w:type="dxa"/>
            </w:tcMar>
            <w:shd w:fill="F3F6F8"/>
          </w:tcPr>
          <w:p>
            <w:pPr>
              <w:spacing w:after="0" w:line="240" w:lineRule="auto"/>
            </w:pPr>
            <w:r>
              <w:rPr>
                <w:sz w:val="15"/>
              </w:rPr>
              <w:t>Python/R stats module locked from agent</w:t>
            </w:r>
          </w:p>
        </w:tc>
      </w:tr>
      <w:tr>
        <w:trPr>
          <w:cantSplit/>
        </w:trPr>
        <w:tc>
          <w:tcPr>
            <w:tcW w:type="dxa" w:w="2160"/>
            <w:vAlign w:val="top"/>
            <w:tcMar>
              <w:top w:w="80" w:type="dxa"/>
              <w:start w:w="90" w:type="dxa"/>
              <w:bottom w:w="80" w:type="dxa"/>
              <w:end w:w="90" w:type="dxa"/>
            </w:tcMar>
          </w:tcPr>
          <w:p>
            <w:pPr>
              <w:spacing w:after="0" w:line="240" w:lineRule="auto"/>
            </w:pPr>
            <w:r>
              <w:rPr>
                <w:sz w:val="15"/>
              </w:rPr>
              <w:t>Ensemble/reconciliation</w:t>
            </w:r>
          </w:p>
        </w:tc>
        <w:tc>
          <w:tcPr>
            <w:tcW w:type="dxa" w:w="3672"/>
            <w:vAlign w:val="top"/>
            <w:tcMar>
              <w:top w:w="80" w:type="dxa"/>
              <w:start w:w="90" w:type="dxa"/>
              <w:bottom w:w="80" w:type="dxa"/>
              <w:end w:w="90" w:type="dxa"/>
            </w:tcMar>
          </w:tcPr>
          <w:p>
            <w:pPr>
              <w:spacing w:after="0" w:line="240" w:lineRule="auto"/>
            </w:pPr>
            <w:r>
              <w:rPr>
                <w:sz w:val="15"/>
              </w:rPr>
              <w:t>OOF weights and hierarchy coherence</w:t>
            </w:r>
          </w:p>
        </w:tc>
        <w:tc>
          <w:tcPr>
            <w:tcW w:type="dxa" w:w="4680"/>
            <w:vAlign w:val="top"/>
            <w:tcMar>
              <w:top w:w="80" w:type="dxa"/>
              <w:start w:w="90" w:type="dxa"/>
              <w:bottom w:w="80" w:type="dxa"/>
              <w:end w:w="90" w:type="dxa"/>
            </w:tcMar>
          </w:tcPr>
          <w:p>
            <w:pPr>
              <w:spacing w:after="0" w:line="240" w:lineRule="auto"/>
            </w:pPr>
            <w:r>
              <w:rPr>
                <w:sz w:val="15"/>
              </w:rPr>
              <w:t>AutoGluon + HierarchicalForecast</w:t>
            </w:r>
          </w:p>
        </w:tc>
      </w:tr>
      <w:tr>
        <w:trPr>
          <w:cantSplit/>
        </w:trPr>
        <w:tc>
          <w:tcPr>
            <w:tcW w:type="dxa" w:w="2160"/>
            <w:vAlign w:val="top"/>
            <w:tcMar>
              <w:top w:w="80" w:type="dxa"/>
              <w:start w:w="90" w:type="dxa"/>
              <w:bottom w:w="80" w:type="dxa"/>
              <w:end w:w="90" w:type="dxa"/>
            </w:tcMar>
            <w:shd w:fill="F3F6F8"/>
          </w:tcPr>
          <w:p>
            <w:pPr>
              <w:spacing w:after="0" w:line="240" w:lineRule="auto"/>
            </w:pPr>
            <w:r>
              <w:rPr>
                <w:sz w:val="15"/>
              </w:rPr>
              <w:t>Monitoring</w:t>
            </w:r>
          </w:p>
        </w:tc>
        <w:tc>
          <w:tcPr>
            <w:tcW w:type="dxa" w:w="3672"/>
            <w:vAlign w:val="top"/>
            <w:tcMar>
              <w:top w:w="80" w:type="dxa"/>
              <w:start w:w="90" w:type="dxa"/>
              <w:bottom w:w="80" w:type="dxa"/>
              <w:end w:w="90" w:type="dxa"/>
            </w:tcMar>
            <w:shd w:fill="F3F6F8"/>
          </w:tcPr>
          <w:p>
            <w:pPr>
              <w:spacing w:after="0" w:line="240" w:lineRule="auto"/>
            </w:pPr>
            <w:r>
              <w:rPr>
                <w:sz w:val="15"/>
              </w:rPr>
              <w:t>Error, calibration, drift, latency, missing covariates</w:t>
            </w:r>
          </w:p>
        </w:tc>
        <w:tc>
          <w:tcPr>
            <w:tcW w:type="dxa" w:w="4680"/>
            <w:vAlign w:val="top"/>
            <w:tcMar>
              <w:top w:w="80" w:type="dxa"/>
              <w:start w:w="90" w:type="dxa"/>
              <w:bottom w:w="80" w:type="dxa"/>
              <w:end w:w="90" w:type="dxa"/>
            </w:tcMar>
            <w:shd w:fill="F3F6F8"/>
          </w:tcPr>
          <w:p>
            <w:pPr>
              <w:spacing w:after="0" w:line="240" w:lineRule="auto"/>
            </w:pPr>
            <w:r>
              <w:rPr>
                <w:sz w:val="15"/>
              </w:rPr>
              <w:t>Prometheus/Grafana + scheduled backtest</w:t>
            </w:r>
          </w:p>
        </w:tc>
      </w:tr>
    </w:tbl>
    <w:p>
      <w:pPr>
        <w:spacing w:after="0"/>
      </w:pPr>
    </w:p>
    <w:p>
      <w:pPr>
        <w:widowControl/>
      </w:pPr>
      <w:r>
        <w:t>TimeCopilot интересен как готовый agent-facing слой над десятками моделей, но его заявления о верхнем месте GIFT-Eval нужно воспроизводить на той же версии leaderboard и с учётом API-зависимостей. Для enterprise-контроля лучше отделить agent UX от собственного immutable evaluation service.</w:t>
      </w:r>
      <w:r>
        <w:footnoteReference w:id="40"/>
      </w:r>
    </w:p>
    <w:p>
      <w:pPr>
        <w:pStyle w:val="Heading1"/>
      </w:pPr>
      <w:r>
        <w:t>9. План внедрения на 90 дней</w:t>
      </w:r>
    </w:p>
    <w:tbl>
      <w:tblPr>
        <w:tblStyle w:val="TableGrid"/>
        <w:tblW w:type="auto" w:w="0"/>
        <w:jc w:val="center"/>
        <w:tblLayout w:type="fixed"/>
        <w:tblLook w:firstColumn="1" w:firstRow="1" w:lastColumn="0" w:lastRow="0" w:noHBand="0" w:noVBand="1" w:val="04A0"/>
      </w:tblPr>
      <w:tblGrid>
        <w:gridCol w:w="3389"/>
        <w:gridCol w:w="3389"/>
        <w:gridCol w:w="3389"/>
      </w:tblGrid>
      <w:tr>
        <w:trPr>
          <w:tblHeader w:val="true"/>
        </w:trPr>
        <w:tc>
          <w:tcPr>
            <w:tcW w:type="dxa" w:w="1584"/>
            <w:shd w:fill="16324F"/>
            <w:vAlign w:val="center"/>
            <w:tcMar>
              <w:top w:w="80" w:type="dxa"/>
              <w:start w:w="90" w:type="dxa"/>
              <w:bottom w:w="80" w:type="dxa"/>
              <w:end w:w="90" w:type="dxa"/>
            </w:tcMar>
          </w:tcPr>
          <w:p>
            <w:pPr>
              <w:spacing w:after="0"/>
            </w:pPr>
            <w:r>
              <w:rPr>
                <w:b/>
                <w:color w:val="FFFFFF"/>
                <w:sz w:val="15"/>
              </w:rPr>
              <w:t>Период</w:t>
            </w:r>
          </w:p>
        </w:tc>
        <w:tc>
          <w:tcPr>
            <w:tcW w:type="dxa" w:w="5328"/>
            <w:shd w:fill="16324F"/>
            <w:vAlign w:val="center"/>
            <w:tcMar>
              <w:top w:w="80" w:type="dxa"/>
              <w:start w:w="90" w:type="dxa"/>
              <w:bottom w:w="80" w:type="dxa"/>
              <w:end w:w="90" w:type="dxa"/>
            </w:tcMar>
          </w:tcPr>
          <w:p>
            <w:pPr>
              <w:spacing w:after="0"/>
            </w:pPr>
            <w:r>
              <w:rPr>
                <w:b/>
                <w:color w:val="FFFFFF"/>
                <w:sz w:val="15"/>
              </w:rPr>
              <w:t>Результат</w:t>
            </w:r>
          </w:p>
        </w:tc>
        <w:tc>
          <w:tcPr>
            <w:tcW w:type="dxa" w:w="3600"/>
            <w:shd w:fill="16324F"/>
            <w:vAlign w:val="center"/>
            <w:tcMar>
              <w:top w:w="80" w:type="dxa"/>
              <w:start w:w="90" w:type="dxa"/>
              <w:bottom w:w="80" w:type="dxa"/>
              <w:end w:w="90" w:type="dxa"/>
            </w:tcMar>
          </w:tcPr>
          <w:p>
            <w:pPr>
              <w:spacing w:after="0"/>
            </w:pPr>
            <w:r>
              <w:rPr>
                <w:b/>
                <w:color w:val="FFFFFF"/>
                <w:sz w:val="15"/>
              </w:rPr>
              <w:t>Критерий выхода</w:t>
            </w:r>
          </w:p>
        </w:tc>
      </w:tr>
      <w:tr>
        <w:trPr>
          <w:cantSplit/>
        </w:trPr>
        <w:tc>
          <w:tcPr>
            <w:tcW w:type="dxa" w:w="1584"/>
            <w:vAlign w:val="top"/>
            <w:tcMar>
              <w:top w:w="80" w:type="dxa"/>
              <w:start w:w="90" w:type="dxa"/>
              <w:bottom w:w="80" w:type="dxa"/>
              <w:end w:w="90" w:type="dxa"/>
            </w:tcMar>
          </w:tcPr>
          <w:p>
            <w:pPr>
              <w:spacing w:after="0" w:line="240" w:lineRule="auto"/>
            </w:pPr>
            <w:r>
              <w:rPr>
                <w:sz w:val="15"/>
              </w:rPr>
              <w:t>0–15 дней</w:t>
            </w:r>
          </w:p>
        </w:tc>
        <w:tc>
          <w:tcPr>
            <w:tcW w:type="dxa" w:w="5328"/>
            <w:vAlign w:val="top"/>
            <w:tcMar>
              <w:top w:w="80" w:type="dxa"/>
              <w:start w:w="90" w:type="dxa"/>
              <w:bottom w:w="80" w:type="dxa"/>
              <w:end w:w="90" w:type="dxa"/>
            </w:tcMar>
          </w:tcPr>
          <w:p>
            <w:pPr>
              <w:spacing w:after="0" w:line="240" w:lineRule="auto"/>
            </w:pPr>
            <w:r>
              <w:rPr>
                <w:sz w:val="15"/>
              </w:rPr>
              <w:t>Data audit; temporal contract; frozen holdout; seasonal/classical/GBM baselines</w:t>
            </w:r>
          </w:p>
        </w:tc>
        <w:tc>
          <w:tcPr>
            <w:tcW w:type="dxa" w:w="3600"/>
            <w:vAlign w:val="top"/>
            <w:tcMar>
              <w:top w:w="80" w:type="dxa"/>
              <w:start w:w="90" w:type="dxa"/>
              <w:bottom w:w="80" w:type="dxa"/>
              <w:end w:w="90" w:type="dxa"/>
            </w:tcMar>
          </w:tcPr>
          <w:p>
            <w:pPr>
              <w:spacing w:after="0" w:line="240" w:lineRule="auto"/>
            </w:pPr>
            <w:r>
              <w:rPr>
                <w:sz w:val="15"/>
              </w:rPr>
              <w:t>Нет leakage; baseline reproducible; latency measured</w:t>
            </w:r>
          </w:p>
        </w:tc>
      </w:tr>
      <w:tr>
        <w:trPr>
          <w:cantSplit/>
        </w:trPr>
        <w:tc>
          <w:tcPr>
            <w:tcW w:type="dxa" w:w="1584"/>
            <w:vAlign w:val="top"/>
            <w:tcMar>
              <w:top w:w="80" w:type="dxa"/>
              <w:start w:w="90" w:type="dxa"/>
              <w:bottom w:w="80" w:type="dxa"/>
              <w:end w:w="90" w:type="dxa"/>
            </w:tcMar>
            <w:shd w:fill="F3F6F8"/>
          </w:tcPr>
          <w:p>
            <w:pPr>
              <w:spacing w:after="0" w:line="240" w:lineRule="auto"/>
            </w:pPr>
            <w:r>
              <w:rPr>
                <w:sz w:val="15"/>
              </w:rPr>
              <w:t>16–30 дней</w:t>
            </w:r>
          </w:p>
        </w:tc>
        <w:tc>
          <w:tcPr>
            <w:tcW w:type="dxa" w:w="5328"/>
            <w:vAlign w:val="top"/>
            <w:tcMar>
              <w:top w:w="80" w:type="dxa"/>
              <w:start w:w="90" w:type="dxa"/>
              <w:bottom w:w="80" w:type="dxa"/>
              <w:end w:w="90" w:type="dxa"/>
            </w:tcMar>
            <w:shd w:fill="F3F6F8"/>
          </w:tcPr>
          <w:p>
            <w:pPr>
              <w:spacing w:after="0" w:line="240" w:lineRule="auto"/>
            </w:pPr>
            <w:r>
              <w:rPr>
                <w:sz w:val="15"/>
              </w:rPr>
              <w:t>Chronos-2, Toto 2.0, Moirai 2.0, TTM; AutoGluon ensemble</w:t>
            </w:r>
          </w:p>
        </w:tc>
        <w:tc>
          <w:tcPr>
            <w:tcW w:type="dxa" w:w="3600"/>
            <w:vAlign w:val="top"/>
            <w:tcMar>
              <w:top w:w="80" w:type="dxa"/>
              <w:start w:w="90" w:type="dxa"/>
              <w:bottom w:w="80" w:type="dxa"/>
              <w:end w:w="90" w:type="dxa"/>
            </w:tcMar>
            <w:shd w:fill="F3F6F8"/>
          </w:tcPr>
          <w:p>
            <w:pPr>
              <w:spacing w:after="0" w:line="240" w:lineRule="auto"/>
            </w:pPr>
            <w:r>
              <w:rPr>
                <w:sz w:val="15"/>
              </w:rPr>
              <w:t>Одинаковые folds/metrics; license review complete</w:t>
            </w:r>
          </w:p>
        </w:tc>
      </w:tr>
      <w:tr>
        <w:trPr>
          <w:cantSplit/>
        </w:trPr>
        <w:tc>
          <w:tcPr>
            <w:tcW w:type="dxa" w:w="1584"/>
            <w:vAlign w:val="top"/>
            <w:tcMar>
              <w:top w:w="80" w:type="dxa"/>
              <w:start w:w="90" w:type="dxa"/>
              <w:bottom w:w="80" w:type="dxa"/>
              <w:end w:w="90" w:type="dxa"/>
            </w:tcMar>
          </w:tcPr>
          <w:p>
            <w:pPr>
              <w:spacing w:after="0" w:line="240" w:lineRule="auto"/>
            </w:pPr>
            <w:r>
              <w:rPr>
                <w:sz w:val="15"/>
              </w:rPr>
              <w:t>31–45 дней</w:t>
            </w:r>
          </w:p>
        </w:tc>
        <w:tc>
          <w:tcPr>
            <w:tcW w:type="dxa" w:w="5328"/>
            <w:vAlign w:val="top"/>
            <w:tcMar>
              <w:top w:w="80" w:type="dxa"/>
              <w:start w:w="90" w:type="dxa"/>
              <w:bottom w:w="80" w:type="dxa"/>
              <w:end w:w="90" w:type="dxa"/>
            </w:tcMar>
          </w:tcPr>
          <w:p>
            <w:pPr>
              <w:spacing w:after="0" w:line="240" w:lineRule="auto"/>
            </w:pPr>
            <w:r>
              <w:rPr>
                <w:sz w:val="15"/>
              </w:rPr>
              <w:t>Covariate ablations, multivariate grouping, LoRA/fine-tune shortlist</w:t>
            </w:r>
          </w:p>
        </w:tc>
        <w:tc>
          <w:tcPr>
            <w:tcW w:type="dxa" w:w="3600"/>
            <w:vAlign w:val="top"/>
            <w:tcMar>
              <w:top w:w="80" w:type="dxa"/>
              <w:start w:w="90" w:type="dxa"/>
              <w:bottom w:w="80" w:type="dxa"/>
              <w:end w:w="90" w:type="dxa"/>
            </w:tcMar>
          </w:tcPr>
          <w:p>
            <w:pPr>
              <w:spacing w:after="0" w:line="240" w:lineRule="auto"/>
            </w:pPr>
            <w:r>
              <w:rPr>
                <w:sz w:val="15"/>
              </w:rPr>
              <w:t>Improvement CI + cost/latency envelope</w:t>
            </w:r>
          </w:p>
        </w:tc>
      </w:tr>
      <w:tr>
        <w:trPr>
          <w:cantSplit/>
        </w:trPr>
        <w:tc>
          <w:tcPr>
            <w:tcW w:type="dxa" w:w="1584"/>
            <w:vAlign w:val="top"/>
            <w:tcMar>
              <w:top w:w="80" w:type="dxa"/>
              <w:start w:w="90" w:type="dxa"/>
              <w:bottom w:w="80" w:type="dxa"/>
              <w:end w:w="90" w:type="dxa"/>
            </w:tcMar>
            <w:shd w:fill="F3F6F8"/>
          </w:tcPr>
          <w:p>
            <w:pPr>
              <w:spacing w:after="0" w:line="240" w:lineRule="auto"/>
            </w:pPr>
            <w:r>
              <w:rPr>
                <w:sz w:val="15"/>
              </w:rPr>
              <w:t>46–60 дней</w:t>
            </w:r>
          </w:p>
        </w:tc>
        <w:tc>
          <w:tcPr>
            <w:tcW w:type="dxa" w:w="5328"/>
            <w:vAlign w:val="top"/>
            <w:tcMar>
              <w:top w:w="80" w:type="dxa"/>
              <w:start w:w="90" w:type="dxa"/>
              <w:bottom w:w="80" w:type="dxa"/>
              <w:end w:w="90" w:type="dxa"/>
            </w:tcMar>
            <w:shd w:fill="F3F6F8"/>
          </w:tcPr>
          <w:p>
            <w:pPr>
              <w:spacing w:after="0" w:line="240" w:lineRule="auto"/>
            </w:pPr>
            <w:r>
              <w:rPr>
                <w:sz w:val="15"/>
              </w:rPr>
              <w:t>Quantile evaluation; CQR/EnbPI/ACI; calibration dashboard</w:t>
            </w:r>
          </w:p>
        </w:tc>
        <w:tc>
          <w:tcPr>
            <w:tcW w:type="dxa" w:w="3600"/>
            <w:vAlign w:val="top"/>
            <w:tcMar>
              <w:top w:w="80" w:type="dxa"/>
              <w:start w:w="90" w:type="dxa"/>
              <w:bottom w:w="80" w:type="dxa"/>
              <w:end w:w="90" w:type="dxa"/>
            </w:tcMar>
            <w:shd w:fill="F3F6F8"/>
          </w:tcPr>
          <w:p>
            <w:pPr>
              <w:spacing w:after="0" w:line="240" w:lineRule="auto"/>
            </w:pPr>
            <w:r>
              <w:rPr>
                <w:sz w:val="15"/>
              </w:rPr>
              <w:t>Coverage within tolerance by horizon/segment</w:t>
            </w:r>
          </w:p>
        </w:tc>
      </w:tr>
      <w:tr>
        <w:trPr>
          <w:cantSplit/>
        </w:trPr>
        <w:tc>
          <w:tcPr>
            <w:tcW w:type="dxa" w:w="1584"/>
            <w:vAlign w:val="top"/>
            <w:tcMar>
              <w:top w:w="80" w:type="dxa"/>
              <w:start w:w="90" w:type="dxa"/>
              <w:bottom w:w="80" w:type="dxa"/>
              <w:end w:w="90" w:type="dxa"/>
            </w:tcMar>
          </w:tcPr>
          <w:p>
            <w:pPr>
              <w:spacing w:after="0" w:line="240" w:lineRule="auto"/>
            </w:pPr>
            <w:r>
              <w:rPr>
                <w:sz w:val="15"/>
              </w:rPr>
              <w:t>61–75 дней</w:t>
            </w:r>
          </w:p>
        </w:tc>
        <w:tc>
          <w:tcPr>
            <w:tcW w:type="dxa" w:w="5328"/>
            <w:vAlign w:val="top"/>
            <w:tcMar>
              <w:top w:w="80" w:type="dxa"/>
              <w:start w:w="90" w:type="dxa"/>
              <w:bottom w:w="80" w:type="dxa"/>
              <w:end w:w="90" w:type="dxa"/>
            </w:tcMar>
          </w:tcPr>
          <w:p>
            <w:pPr>
              <w:spacing w:after="0" w:line="240" w:lineRule="auto"/>
            </w:pPr>
            <w:r>
              <w:rPr>
                <w:sz w:val="15"/>
              </w:rPr>
              <w:t>Guarded autoresearch loop and experiment memory</w:t>
            </w:r>
          </w:p>
        </w:tc>
        <w:tc>
          <w:tcPr>
            <w:tcW w:type="dxa" w:w="3600"/>
            <w:vAlign w:val="top"/>
            <w:tcMar>
              <w:top w:w="80" w:type="dxa"/>
              <w:start w:w="90" w:type="dxa"/>
              <w:bottom w:w="80" w:type="dxa"/>
              <w:end w:w="90" w:type="dxa"/>
            </w:tcMar>
          </w:tcPr>
          <w:p>
            <w:pPr>
              <w:spacing w:after="0" w:line="240" w:lineRule="auto"/>
            </w:pPr>
            <w:r>
              <w:rPr>
                <w:sz w:val="15"/>
              </w:rPr>
              <w:t>Agent cannot mutate evaluator/holdout; deterministic reruns</w:t>
            </w:r>
          </w:p>
        </w:tc>
      </w:tr>
      <w:tr>
        <w:trPr>
          <w:cantSplit/>
        </w:trPr>
        <w:tc>
          <w:tcPr>
            <w:tcW w:type="dxa" w:w="1584"/>
            <w:vAlign w:val="top"/>
            <w:tcMar>
              <w:top w:w="80" w:type="dxa"/>
              <w:start w:w="90" w:type="dxa"/>
              <w:bottom w:w="80" w:type="dxa"/>
              <w:end w:w="90" w:type="dxa"/>
            </w:tcMar>
            <w:shd w:fill="F3F6F8"/>
          </w:tcPr>
          <w:p>
            <w:pPr>
              <w:spacing w:after="0" w:line="240" w:lineRule="auto"/>
            </w:pPr>
            <w:r>
              <w:rPr>
                <w:sz w:val="15"/>
              </w:rPr>
              <w:t>76–90 дней</w:t>
            </w:r>
          </w:p>
        </w:tc>
        <w:tc>
          <w:tcPr>
            <w:tcW w:type="dxa" w:w="5328"/>
            <w:vAlign w:val="top"/>
            <w:tcMar>
              <w:top w:w="80" w:type="dxa"/>
              <w:start w:w="90" w:type="dxa"/>
              <w:bottom w:w="80" w:type="dxa"/>
              <w:end w:w="90" w:type="dxa"/>
            </w:tcMar>
            <w:shd w:fill="F3F6F8"/>
          </w:tcPr>
          <w:p>
            <w:pPr>
              <w:spacing w:after="0" w:line="240" w:lineRule="auto"/>
            </w:pPr>
            <w:r>
              <w:rPr>
                <w:sz w:val="15"/>
              </w:rPr>
              <w:t>Shadow deployment, champion/challenger, rollback and retraining policy</w:t>
            </w:r>
          </w:p>
        </w:tc>
        <w:tc>
          <w:tcPr>
            <w:tcW w:type="dxa" w:w="3600"/>
            <w:vAlign w:val="top"/>
            <w:tcMar>
              <w:top w:w="80" w:type="dxa"/>
              <w:start w:w="90" w:type="dxa"/>
              <w:bottom w:w="80" w:type="dxa"/>
              <w:end w:w="90" w:type="dxa"/>
            </w:tcMar>
            <w:shd w:fill="F3F6F8"/>
          </w:tcPr>
          <w:p>
            <w:pPr>
              <w:spacing w:after="0" w:line="240" w:lineRule="auto"/>
            </w:pPr>
            <w:r>
              <w:rPr>
                <w:sz w:val="15"/>
              </w:rPr>
              <w:t>4+ forecast cycles; no critical calibration breach</w:t>
            </w:r>
          </w:p>
        </w:tc>
      </w:tr>
    </w:tbl>
    <w:p>
      <w:pPr>
        <w:spacing w:after="0"/>
      </w:pPr>
    </w:p>
    <w:p>
      <w:pPr>
        <w:pStyle w:val="Heading1"/>
      </w:pPr>
      <w:r>
        <w:t>10. Решение по умолчанию</w:t>
      </w:r>
    </w:p>
    <w:p>
      <w:pPr>
        <w:widowControl/>
      </w:pPr>
      <w:r>
        <w:t>Если домен ещё не выбран, разумный default выглядит так:</w:t>
      </w:r>
    </w:p>
    <w:p>
      <w:pPr>
        <w:pStyle w:val="ListBullet"/>
        <w:spacing w:after="60"/>
      </w:pPr>
      <w:r>
        <w:t>Shortlist: SeasonalNaive, AutoETS/AutoARIMA, LightGBM/CatBoost через MLForecast, N-HiTS или TSMixer, Chronos-2, Toto 2.0, Moirai 2.0 и TTM. TimesFM 3 — только после license approval; иначе TimesFM 2.5.</w:t>
      </w:r>
    </w:p>
    <w:p>
      <w:pPr>
        <w:pStyle w:val="ListBullet"/>
        <w:spacing w:after="60"/>
      </w:pPr>
      <w:r>
        <w:t>Backtest: минимум 5–10 rolling origins, соответствующих production cadence; final 1–3 origins sealed; одинаковые covariate snapshots.</w:t>
      </w:r>
    </w:p>
    <w:p>
      <w:pPr>
        <w:pStyle w:val="ListBullet"/>
        <w:spacing w:after="60"/>
      </w:pPr>
      <w:r>
        <w:t>Selection: primary business loss + MASE/RMSSE; WIS/CRPS для вероятностей; resource constraints как hard gates.</w:t>
      </w:r>
    </w:p>
    <w:p>
      <w:pPr>
        <w:pStyle w:val="ListBullet"/>
        <w:spacing w:after="60"/>
      </w:pPr>
      <w:r>
        <w:t>Uncertainty: native quantiles → calibration split → CQR/EnbPI; ACI при online drift; coverage dashboard по горизонту и сегменту.</w:t>
      </w:r>
    </w:p>
    <w:p>
      <w:pPr>
        <w:pStyle w:val="ListBullet"/>
        <w:spacing w:after="60"/>
      </w:pPr>
      <w:r>
        <w:t>Inference: ансамбль MCS-survivors с OOF weights; robust fallback на SeasonalNaive при missing covariates или model failure.</w:t>
      </w:r>
    </w:p>
    <w:p>
      <w:pPr>
        <w:pStyle w:val="ListBullet"/>
        <w:spacing w:after="60"/>
      </w:pPr>
      <w:r>
        <w:t>Autoresearch: агент может исследовать features/model/loss, но не scorer/data split; каждое улучшение подтверждается block-bootstrap CI и independent rerun.</w:t>
      </w:r>
    </w:p>
    <w:p>
      <w:pPr>
        <w:widowControl/>
      </w:pPr>
      <w:r>
        <w:t>Эта схема оптимизирует не leaderboard, а риск ошибки решения. Она сохраняет преимущества новых Transformers и TSFM, но заставляет их конкурировать с дешёвыми моделями на одинаковых данных и делает неопределённость наблюдаемой частью продукта.</w:t>
      </w:r>
    </w:p>
    <w:p>
      <w:pPr>
        <w:pStyle w:val="Heading1"/>
      </w:pPr>
      <w:r>
        <w:t>11. Ограничения исследования</w:t>
      </w:r>
    </w:p>
    <w:p>
      <w:pPr>
        <w:widowControl/>
      </w:pPr>
      <w:r>
        <w:t>Большая часть релизов 2026 года опубликована как arXiv preprints или vendor reports; независимых репликаций ещё мало. Репозитории и лицензии меняются быстрее, чем научные статьи. Перед production deployment необходимо повторно проверить model card, weight license, список разрешённых use cases и конкретный commit.</w:t>
      </w:r>
    </w:p>
    <w:p>
      <w:pPr>
        <w:widowControl/>
      </w:pPr>
      <w:r>
        <w:t>Публичные benchmark ranks чувствительны к составу задач, aggregation, missing/failure policy и потенциальному pretraining contamination. Поэтому в документе vendor claims описаны как заявления авторов, а не как универсально доказанное превосходство. Указанные библиотеки — строительные блоки, а не гарантия качества без корректного temporal data contract.</w:t>
      </w:r>
    </w:p>
    <w:p>
      <w:pPr>
        <w:pStyle w:val="Heading1"/>
      </w:pPr>
      <w:r>
        <w:t>Источники</w:t>
      </w:r>
    </w:p>
    <w:p>
      <w:pPr>
        <w:widowControl/>
      </w:pPr>
      <w:r>
        <w:t>Основные первичные и официальные источники, использованные для среза. Повторяющиеся ссылки оставлены один раз.</w:t>
      </w:r>
    </w:p>
    <w:p>
      <w:pPr>
        <w:spacing w:after="60"/>
        <w:ind w:left="259" w:hanging="259"/>
      </w:pPr>
      <w:r>
        <w:rPr>
          <w:b/>
        </w:rPr>
        <w:t xml:space="preserve">1. GIFT-Eval: benchmark and repository. </w:t>
      </w:r>
      <w:r>
        <w:rPr>
          <w:color w:val="1F4E79"/>
          <w:sz w:val="17"/>
          <w:u w:val="single"/>
        </w:rPr>
        <w:t>https://github.com/SalesforceAIResearch/gift-eval</w:t>
      </w:r>
    </w:p>
    <w:p>
      <w:pPr>
        <w:spacing w:after="60"/>
        <w:ind w:left="259" w:hanging="259"/>
      </w:pPr>
      <w:r>
        <w:rPr>
          <w:b/>
        </w:rPr>
        <w:t xml:space="preserve">2. Google Research: TimesFM 3. </w:t>
      </w:r>
      <w:r>
        <w:rPr>
          <w:color w:val="1F4E79"/>
          <w:sz w:val="17"/>
          <w:u w:val="single"/>
        </w:rPr>
        <w:t>https://research.google/blog/timesfm-3-a-zero-shot-foundation-model-for-multivariate-forecasting/</w:t>
      </w:r>
    </w:p>
    <w:p>
      <w:pPr>
        <w:spacing w:after="60"/>
        <w:ind w:left="259" w:hanging="259"/>
      </w:pPr>
      <w:r>
        <w:rPr>
          <w:b/>
        </w:rPr>
        <w:t xml:space="preserve">3. TimesFM repository and licensing. </w:t>
      </w:r>
      <w:r>
        <w:rPr>
          <w:color w:val="1F4E79"/>
          <w:sz w:val="17"/>
          <w:u w:val="single"/>
        </w:rPr>
        <w:t>https://github.com/google-research/timesfm</w:t>
      </w:r>
    </w:p>
    <w:p>
      <w:pPr>
        <w:spacing w:after="60"/>
        <w:ind w:left="259" w:hanging="259"/>
      </w:pPr>
      <w:r>
        <w:rPr>
          <w:b/>
        </w:rPr>
        <w:t xml:space="preserve">4. Chronos-2 paper. </w:t>
      </w:r>
      <w:r>
        <w:rPr>
          <w:color w:val="1F4E79"/>
          <w:sz w:val="17"/>
          <w:u w:val="single"/>
        </w:rPr>
        <w:t>https://arxiv.org/abs/2510.15821</w:t>
      </w:r>
    </w:p>
    <w:p>
      <w:pPr>
        <w:spacing w:after="60"/>
        <w:ind w:left="259" w:hanging="259"/>
      </w:pPr>
      <w:r>
        <w:rPr>
          <w:b/>
        </w:rPr>
        <w:t xml:space="preserve">5. Amazon Chronos repository. </w:t>
      </w:r>
      <w:r>
        <w:rPr>
          <w:color w:val="1F4E79"/>
          <w:sz w:val="17"/>
          <w:u w:val="single"/>
        </w:rPr>
        <w:t>https://github.com/amazon-science/chronos-forecasting</w:t>
      </w:r>
    </w:p>
    <w:p>
      <w:pPr>
        <w:spacing w:after="60"/>
        <w:ind w:left="259" w:hanging="259"/>
      </w:pPr>
      <w:r>
        <w:rPr>
          <w:b/>
        </w:rPr>
        <w:t xml:space="preserve">6. Datadog: Toto 2.0 release. </w:t>
      </w:r>
      <w:r>
        <w:rPr>
          <w:color w:val="1F4E79"/>
          <w:sz w:val="17"/>
          <w:u w:val="single"/>
        </w:rPr>
        <w:t>https://www.datadoghq.com/blog/ai/toto-2/</w:t>
      </w:r>
    </w:p>
    <w:p>
      <w:pPr>
        <w:spacing w:after="60"/>
        <w:ind w:left="259" w:hanging="259"/>
      </w:pPr>
      <w:r>
        <w:rPr>
          <w:b/>
        </w:rPr>
        <w:t xml:space="preserve">7. Toto 2.0 paper. </w:t>
      </w:r>
      <w:r>
        <w:rPr>
          <w:color w:val="1F4E79"/>
          <w:sz w:val="17"/>
          <w:u w:val="single"/>
        </w:rPr>
        <w:t>https://arxiv.org/abs/2605.20119</w:t>
      </w:r>
    </w:p>
    <w:p>
      <w:pPr>
        <w:spacing w:after="60"/>
        <w:ind w:left="259" w:hanging="259"/>
      </w:pPr>
      <w:r>
        <w:rPr>
          <w:b/>
        </w:rPr>
        <w:t xml:space="preserve">8. Toto repository. </w:t>
      </w:r>
      <w:r>
        <w:rPr>
          <w:color w:val="1F4E79"/>
          <w:sz w:val="17"/>
          <w:u w:val="single"/>
        </w:rPr>
        <w:t>https://github.com/DataDog/toto</w:t>
      </w:r>
    </w:p>
    <w:p>
      <w:pPr>
        <w:spacing w:after="60"/>
        <w:ind w:left="259" w:hanging="259"/>
      </w:pPr>
      <w:r>
        <w:rPr>
          <w:b/>
        </w:rPr>
        <w:t xml:space="preserve">9. Moirai 2.0 paper. </w:t>
      </w:r>
      <w:r>
        <w:rPr>
          <w:color w:val="1F4E79"/>
          <w:sz w:val="17"/>
          <w:u w:val="single"/>
        </w:rPr>
        <w:t>https://arxiv.org/abs/2511.11698</w:t>
      </w:r>
    </w:p>
    <w:p>
      <w:pPr>
        <w:spacing w:after="60"/>
        <w:ind w:left="259" w:hanging="259"/>
      </w:pPr>
      <w:r>
        <w:rPr>
          <w:b/>
        </w:rPr>
        <w:t xml:space="preserve">10. Salesforce Uni2TS repository. </w:t>
      </w:r>
      <w:r>
        <w:rPr>
          <w:color w:val="1F4E79"/>
          <w:sz w:val="17"/>
          <w:u w:val="single"/>
        </w:rPr>
        <w:t>https://github.com/SalesforceAIResearch/uni2ts</w:t>
      </w:r>
    </w:p>
    <w:p>
      <w:pPr>
        <w:spacing w:after="60"/>
        <w:ind w:left="259" w:hanging="259"/>
      </w:pPr>
      <w:r>
        <w:rPr>
          <w:b/>
        </w:rPr>
        <w:t xml:space="preserve">11. TSMixer paper. </w:t>
      </w:r>
      <w:r>
        <w:rPr>
          <w:color w:val="1F4E79"/>
          <w:sz w:val="17"/>
          <w:u w:val="single"/>
        </w:rPr>
        <w:t>https://arxiv.org/abs/2306.09364</w:t>
      </w:r>
    </w:p>
    <w:p>
      <w:pPr>
        <w:spacing w:after="60"/>
        <w:ind w:left="259" w:hanging="259"/>
      </w:pPr>
      <w:r>
        <w:rPr>
          <w:b/>
        </w:rPr>
        <w:t xml:space="preserve">12. OOD wildfire forecasting comparison. </w:t>
      </w:r>
      <w:r>
        <w:rPr>
          <w:color w:val="1F4E79"/>
          <w:sz w:val="17"/>
          <w:u w:val="single"/>
        </w:rPr>
        <w:t>https://arxiv.org/abs/2607.07951</w:t>
      </w:r>
    </w:p>
    <w:p>
      <w:pPr>
        <w:spacing w:after="60"/>
        <w:ind w:left="259" w:hanging="259"/>
      </w:pPr>
      <w:r>
        <w:rPr>
          <w:b/>
        </w:rPr>
        <w:t xml:space="preserve">13. IBM Granite TSFM repository. </w:t>
      </w:r>
      <w:r>
        <w:rPr>
          <w:color w:val="1F4E79"/>
          <w:sz w:val="17"/>
          <w:u w:val="single"/>
        </w:rPr>
        <w:t>https://github.com/ibm-granite/granite-tsfm</w:t>
      </w:r>
    </w:p>
    <w:p>
      <w:pPr>
        <w:spacing w:after="60"/>
        <w:ind w:left="259" w:hanging="259"/>
      </w:pPr>
      <w:r>
        <w:rPr>
          <w:b/>
        </w:rPr>
        <w:t xml:space="preserve">14. Tiny Time Mixers paper. </w:t>
      </w:r>
      <w:r>
        <w:rPr>
          <w:color w:val="1F4E79"/>
          <w:sz w:val="17"/>
          <w:u w:val="single"/>
        </w:rPr>
        <w:t>https://arxiv.org/abs/2401.03955</w:t>
      </w:r>
    </w:p>
    <w:p>
      <w:pPr>
        <w:spacing w:after="60"/>
        <w:ind w:left="259" w:hanging="259"/>
      </w:pPr>
      <w:r>
        <w:rPr>
          <w:b/>
        </w:rPr>
        <w:t xml:space="preserve">15. Google DeepMind: AlphaEvolve. </w:t>
      </w:r>
      <w:r>
        <w:rPr>
          <w:color w:val="1F4E79"/>
          <w:sz w:val="17"/>
          <w:u w:val="single"/>
        </w:rPr>
        <w:t>https://deepmind.google/blog/alphaevolve-a-gemini-powered-coding-agent-for-designing-advanced-algorithms/</w:t>
      </w:r>
    </w:p>
    <w:p>
      <w:pPr>
        <w:spacing w:after="60"/>
        <w:ind w:left="259" w:hanging="259"/>
      </w:pPr>
      <w:r>
        <w:rPr>
          <w:b/>
        </w:rPr>
        <w:t xml:space="preserve">16. Karpathy autoresearch repository. </w:t>
      </w:r>
      <w:r>
        <w:rPr>
          <w:color w:val="1F4E79"/>
          <w:sz w:val="17"/>
          <w:u w:val="single"/>
        </w:rPr>
        <w:t>https://github.com/karpathy/autoresearch</w:t>
      </w:r>
    </w:p>
    <w:p>
      <w:pPr>
        <w:spacing w:after="60"/>
        <w:ind w:left="259" w:hanging="259"/>
      </w:pPr>
      <w:r>
        <w:rPr>
          <w:b/>
        </w:rPr>
        <w:t xml:space="preserve">17. Sakana AI Scientist v2. </w:t>
      </w:r>
      <w:r>
        <w:rPr>
          <w:color w:val="1F4E79"/>
          <w:sz w:val="17"/>
          <w:u w:val="single"/>
        </w:rPr>
        <w:t>https://github.com/SakanaAI/AI-Scientist-v2</w:t>
      </w:r>
    </w:p>
    <w:p>
      <w:pPr>
        <w:spacing w:after="60"/>
        <w:ind w:left="259" w:hanging="259"/>
      </w:pPr>
      <w:r>
        <w:rPr>
          <w:b/>
        </w:rPr>
        <w:t xml:space="preserve">18. TimeSeriesScientist paper. </w:t>
      </w:r>
      <w:r>
        <w:rPr>
          <w:color w:val="1F4E79"/>
          <w:sz w:val="17"/>
          <w:u w:val="single"/>
        </w:rPr>
        <w:t>https://arxiv.org/abs/2510.01538</w:t>
      </w:r>
    </w:p>
    <w:p>
      <w:pPr>
        <w:spacing w:after="60"/>
        <w:ind w:left="259" w:hanging="259"/>
      </w:pPr>
      <w:r>
        <w:rPr>
          <w:b/>
        </w:rPr>
        <w:t xml:space="preserve">19. SEA-TS paper. </w:t>
      </w:r>
      <w:r>
        <w:rPr>
          <w:color w:val="1F4E79"/>
          <w:sz w:val="17"/>
          <w:u w:val="single"/>
        </w:rPr>
        <w:t>https://arxiv.org/abs/2603.04873</w:t>
      </w:r>
    </w:p>
    <w:p>
      <w:pPr>
        <w:spacing w:after="60"/>
        <w:ind w:left="259" w:hanging="259"/>
      </w:pPr>
      <w:r>
        <w:rPr>
          <w:b/>
        </w:rPr>
        <w:t xml:space="preserve">20. Cast-R1 repository. </w:t>
      </w:r>
      <w:r>
        <w:rPr>
          <w:color w:val="1F4E79"/>
          <w:sz w:val="17"/>
          <w:u w:val="single"/>
        </w:rPr>
        <w:t>https://github.com/Xiaoyu-Tao/Cast-R1-TS</w:t>
      </w:r>
    </w:p>
    <w:p>
      <w:pPr>
        <w:spacing w:after="60"/>
        <w:ind w:left="259" w:hanging="259"/>
      </w:pPr>
      <w:r>
        <w:rPr>
          <w:b/>
        </w:rPr>
        <w:t xml:space="preserve">21. CastFSR repository. </w:t>
      </w:r>
      <w:r>
        <w:rPr>
          <w:color w:val="1F4E79"/>
          <w:sz w:val="17"/>
          <w:u w:val="single"/>
        </w:rPr>
        <w:t>https://github.com/Xiaoyu-Tao/CastFSR</w:t>
      </w:r>
    </w:p>
    <w:p>
      <w:pPr>
        <w:spacing w:after="60"/>
        <w:ind w:left="259" w:hanging="259"/>
      </w:pPr>
      <w:r>
        <w:rPr>
          <w:b/>
        </w:rPr>
        <w:t xml:space="preserve">22. CastClaw paper. </w:t>
      </w:r>
      <w:r>
        <w:rPr>
          <w:color w:val="1F4E79"/>
          <w:sz w:val="17"/>
          <w:u w:val="single"/>
        </w:rPr>
        <w:t>https://arxiv.org/abs/2608.30976</w:t>
      </w:r>
    </w:p>
    <w:p>
      <w:pPr>
        <w:spacing w:after="60"/>
        <w:ind w:left="259" w:hanging="259"/>
      </w:pPr>
      <w:r>
        <w:rPr>
          <w:b/>
        </w:rPr>
        <w:t xml:space="preserve">23. AutoGluon TimeSeries model zoo. </w:t>
      </w:r>
      <w:r>
        <w:rPr>
          <w:color w:val="1F4E79"/>
          <w:sz w:val="17"/>
          <w:u w:val="single"/>
        </w:rPr>
        <w:t>https://auto.gluon.ai/stable/tutorials/timeseries/forecasting-model-zoo.html</w:t>
      </w:r>
    </w:p>
    <w:p>
      <w:pPr>
        <w:spacing w:after="60"/>
        <w:ind w:left="259" w:hanging="259"/>
      </w:pPr>
      <w:r>
        <w:rPr>
          <w:b/>
        </w:rPr>
        <w:t xml:space="preserve">24. MLForecast repository. </w:t>
      </w:r>
      <w:r>
        <w:rPr>
          <w:color w:val="1F4E79"/>
          <w:sz w:val="17"/>
          <w:u w:val="single"/>
        </w:rPr>
        <w:t>https://github.com/Nixtla/mlforecast</w:t>
      </w:r>
    </w:p>
    <w:p>
      <w:pPr>
        <w:spacing w:after="60"/>
        <w:ind w:left="259" w:hanging="259"/>
      </w:pPr>
      <w:r>
        <w:rPr>
          <w:b/>
        </w:rPr>
        <w:t xml:space="preserve">25. HierarchicalForecast repository. </w:t>
      </w:r>
      <w:r>
        <w:rPr>
          <w:color w:val="1F4E79"/>
          <w:sz w:val="17"/>
          <w:u w:val="single"/>
        </w:rPr>
        <w:t>https://github.com/Nixtla/hierarchicalforecast</w:t>
      </w:r>
    </w:p>
    <w:p>
      <w:pPr>
        <w:spacing w:after="60"/>
        <w:ind w:left="259" w:hanging="259"/>
      </w:pPr>
      <w:r>
        <w:rPr>
          <w:b/>
        </w:rPr>
        <w:t xml:space="preserve">26. sktime documentation. </w:t>
      </w:r>
      <w:r>
        <w:rPr>
          <w:color w:val="1F4E79"/>
          <w:sz w:val="17"/>
          <w:u w:val="single"/>
        </w:rPr>
        <w:t>https://www.sktime.net/</w:t>
      </w:r>
    </w:p>
    <w:p>
      <w:pPr>
        <w:spacing w:after="60"/>
        <w:ind w:left="259" w:hanging="259"/>
      </w:pPr>
      <w:r>
        <w:rPr>
          <w:b/>
        </w:rPr>
        <w:t xml:space="preserve">27. modeltime documentation. </w:t>
      </w:r>
      <w:r>
        <w:rPr>
          <w:color w:val="1F4E79"/>
          <w:sz w:val="17"/>
          <w:u w:val="single"/>
        </w:rPr>
        <w:t>https://business-science.github.io/modeltime/</w:t>
      </w:r>
    </w:p>
    <w:p>
      <w:pPr>
        <w:spacing w:after="60"/>
        <w:ind w:left="259" w:hanging="259"/>
      </w:pPr>
      <w:r>
        <w:rPr>
          <w:b/>
        </w:rPr>
        <w:t xml:space="preserve">28. fable documentation. </w:t>
      </w:r>
      <w:r>
        <w:rPr>
          <w:color w:val="1F4E79"/>
          <w:sz w:val="17"/>
          <w:u w:val="single"/>
        </w:rPr>
        <w:t>https://fable.tidyverts.org/</w:t>
      </w:r>
    </w:p>
    <w:p>
      <w:pPr>
        <w:spacing w:after="60"/>
        <w:ind w:left="259" w:hanging="259"/>
      </w:pPr>
      <w:r>
        <w:rPr>
          <w:b/>
        </w:rPr>
        <w:t xml:space="preserve">29. forecast package. </w:t>
      </w:r>
      <w:r>
        <w:rPr>
          <w:color w:val="1F4E79"/>
          <w:sz w:val="17"/>
          <w:u w:val="single"/>
        </w:rPr>
        <w:t>https://pkg.robjhyndman.com/forecast/</w:t>
      </w:r>
    </w:p>
    <w:p>
      <w:pPr>
        <w:spacing w:after="60"/>
        <w:ind w:left="259" w:hanging="259"/>
      </w:pPr>
      <w:r>
        <w:rPr>
          <w:b/>
        </w:rPr>
        <w:t xml:space="preserve">30. distributional repository. </w:t>
      </w:r>
      <w:r>
        <w:rPr>
          <w:color w:val="1F4E79"/>
          <w:sz w:val="17"/>
          <w:u w:val="single"/>
        </w:rPr>
        <w:t>https://github.com/mitchelloharawild/distributional</w:t>
      </w:r>
    </w:p>
    <w:p>
      <w:pPr>
        <w:spacing w:after="60"/>
        <w:ind w:left="259" w:hanging="259"/>
      </w:pPr>
      <w:r>
        <w:rPr>
          <w:b/>
        </w:rPr>
        <w:t xml:space="preserve">31. Forecasting: Principles and Practice — accuracy and time-series CV. </w:t>
      </w:r>
      <w:r>
        <w:rPr>
          <w:color w:val="1F4E79"/>
          <w:sz w:val="17"/>
          <w:u w:val="single"/>
        </w:rPr>
        <w:t>https://otexts.com/fpp3/accuracy.html</w:t>
      </w:r>
    </w:p>
    <w:p>
      <w:pPr>
        <w:spacing w:after="60"/>
        <w:ind w:left="259" w:hanging="259"/>
      </w:pPr>
      <w:r>
        <w:rPr>
          <w:b/>
        </w:rPr>
        <w:t xml:space="preserve">32. Gneiting &amp; Raftery: strictly proper scoring rules. </w:t>
      </w:r>
      <w:r>
        <w:rPr>
          <w:color w:val="1F4E79"/>
          <w:sz w:val="17"/>
          <w:u w:val="single"/>
        </w:rPr>
        <w:t>https://sites.stat.washington.edu/raftery/Research/PDF/Gneiting2007jasa.pdf</w:t>
      </w:r>
    </w:p>
    <w:p>
      <w:pPr>
        <w:spacing w:after="60"/>
        <w:ind w:left="259" w:hanging="259"/>
      </w:pPr>
      <w:r>
        <w:rPr>
          <w:b/>
        </w:rPr>
        <w:t xml:space="preserve">33. Bracher et al.: weighted interval score. </w:t>
      </w:r>
      <w:r>
        <w:rPr>
          <w:color w:val="1F4E79"/>
          <w:sz w:val="17"/>
          <w:u w:val="single"/>
        </w:rPr>
        <w:t>https://pmc.ncbi.nlm.nih.gov/articles/PMC7880475/</w:t>
      </w:r>
    </w:p>
    <w:p>
      <w:pPr>
        <w:spacing w:after="60"/>
        <w:ind w:left="259" w:hanging="259"/>
      </w:pPr>
      <w:r>
        <w:rPr>
          <w:b/>
        </w:rPr>
        <w:t xml:space="preserve">34. Conformalized Quantile Regression. </w:t>
      </w:r>
      <w:r>
        <w:rPr>
          <w:color w:val="1F4E79"/>
          <w:sz w:val="17"/>
          <w:u w:val="single"/>
        </w:rPr>
        <w:t>https://proceedings.neurips.cc/paper_files/paper/2019/hash/5103c3584b063c431bd1268e9b5e76fb-Abstract.html</w:t>
      </w:r>
    </w:p>
    <w:p>
      <w:pPr>
        <w:spacing w:after="60"/>
        <w:ind w:left="259" w:hanging="259"/>
      </w:pPr>
      <w:r>
        <w:rPr>
          <w:b/>
        </w:rPr>
        <w:t xml:space="preserve">35. EnbPI for time series. </w:t>
      </w:r>
      <w:r>
        <w:rPr>
          <w:color w:val="1F4E79"/>
          <w:sz w:val="17"/>
          <w:u w:val="single"/>
        </w:rPr>
        <w:t>https://proceedings.mlr.press/v139/xu21h.html</w:t>
      </w:r>
    </w:p>
    <w:p>
      <w:pPr>
        <w:spacing w:after="60"/>
        <w:ind w:left="259" w:hanging="259"/>
      </w:pPr>
      <w:r>
        <w:rPr>
          <w:b/>
        </w:rPr>
        <w:t xml:space="preserve">36. Adaptive Conformal Inference. </w:t>
      </w:r>
      <w:r>
        <w:rPr>
          <w:color w:val="1F4E79"/>
          <w:sz w:val="17"/>
          <w:u w:val="single"/>
        </w:rPr>
        <w:t>https://proceedings.neurips.cc/paper/2021/hash/0d441de75945e5acbc865406fc9a2559-Abstract.html</w:t>
      </w:r>
    </w:p>
    <w:p>
      <w:pPr>
        <w:spacing w:after="60"/>
        <w:ind w:left="259" w:hanging="259"/>
      </w:pPr>
      <w:r>
        <w:rPr>
          <w:b/>
        </w:rPr>
        <w:t xml:space="preserve">37. Diebold &amp; Mariano: Comparing Predictive Accuracy. </w:t>
      </w:r>
      <w:r>
        <w:rPr>
          <w:color w:val="1F4E79"/>
          <w:sz w:val="17"/>
          <w:u w:val="single"/>
        </w:rPr>
        <w:t>https://www.tandfonline.com/doi/abs/10.1080/07350015.1995.10524599</w:t>
      </w:r>
    </w:p>
    <w:p>
      <w:pPr>
        <w:spacing w:after="60"/>
        <w:ind w:left="259" w:hanging="259"/>
      </w:pPr>
      <w:r>
        <w:rPr>
          <w:b/>
        </w:rPr>
        <w:t xml:space="preserve">38. Hansen, Lunde &amp; Nason: Model Confidence Set. </w:t>
      </w:r>
      <w:r>
        <w:rPr>
          <w:color w:val="1F4E79"/>
          <w:sz w:val="17"/>
          <w:u w:val="single"/>
        </w:rPr>
        <w:t>https://onlinelibrary.wiley.com/doi/abs/10.3982/ECTA5771</w:t>
      </w:r>
    </w:p>
    <w:p>
      <w:pPr>
        <w:spacing w:after="60"/>
        <w:ind w:left="259" w:hanging="259"/>
      </w:pPr>
      <w:r>
        <w:rPr>
          <w:b/>
        </w:rPr>
        <w:t xml:space="preserve">39. TimeCopilot documentation. </w:t>
      </w:r>
      <w:r>
        <w:rPr>
          <w:color w:val="1F4E79"/>
          <w:sz w:val="17"/>
          <w:u w:val="single"/>
        </w:rPr>
        <w:t>https://timecopilot.dev/</w:t>
      </w:r>
    </w:p>
    <w:p>
      <w:pPr>
        <w:pStyle w:val="Heading1"/>
      </w:pPr>
      <w:r>
        <w:t>Приложение Глоссарий простым языком</w:t>
      </w:r>
    </w:p>
    <w:p>
      <w:pPr>
        <w:spacing w:after="160"/>
      </w:pPr>
      <w:r>
        <w:rPr>
          <w:b/>
        </w:rPr>
        <w:t xml:space="preserve">Главная мысль отчёта. </w:t>
      </w:r>
      <w:r>
        <w:t>Есть данные, расположенные по времени. Несколько разных моделей сдают один и тот же честный экзамен: прогнозируют ещё не показанное им будущее. Лучшие и достаточно надёжные модели можно объединить, а вместе с прогнозом следует показывать диапазон возможных значений. AI-агент может автоматизировать эксперименты, но не должен менять правила экзамена.</w:t>
      </w:r>
    </w:p>
    <w:p>
      <w:pPr>
        <w:spacing w:after="200"/>
      </w:pPr>
      <w:r>
        <w:t>Во всех примерах ниже представим, что компания прогнозирует продажи мороженого по магазинам на следующие 28 дней.</w:t>
      </w:r>
    </w:p>
    <w:p>
      <w:pPr>
        <w:pStyle w:val="Heading2"/>
      </w:pPr>
      <w:r>
        <w:t>Базовые понятия</w:t>
      </w:r>
    </w:p>
    <w:p>
      <w:pPr>
        <w:keepLines/>
        <w:spacing w:after="120"/>
      </w:pPr>
      <w:r>
        <w:rPr>
          <w:b/>
        </w:rPr>
        <w:t xml:space="preserve">Временной ряд (time series) — </w:t>
      </w:r>
      <w:r>
        <w:t>последовательность значений, записанных во времени: каждый час, день, неделю или месяц.</w:t>
      </w:r>
      <w:r>
        <w:rPr>
          <w:i/>
          <w:color w:val="464646"/>
        </w:rPr>
        <w:t xml:space="preserve"> Пример: продажи магазина по дням за последние два года.</w:t>
      </w:r>
    </w:p>
    <w:p>
      <w:pPr>
        <w:keepLines/>
        <w:spacing w:after="120"/>
      </w:pPr>
      <w:r>
        <w:rPr>
          <w:b/>
        </w:rPr>
        <w:t xml:space="preserve">Прогнозирование (forecasting) — </w:t>
      </w:r>
      <w:r>
        <w:t>попытка оценить будущие значения по прошлой истории и другой доступной информации.</w:t>
      </w:r>
      <w:r>
        <w:rPr>
          <w:i/>
          <w:color w:val="464646"/>
        </w:rPr>
        <w:t xml:space="preserve"> Пример: сколько упаковок будет продано завтра и через неделю.</w:t>
      </w:r>
    </w:p>
    <w:p>
      <w:pPr>
        <w:keepLines/>
        <w:spacing w:after="120"/>
      </w:pPr>
      <w:r>
        <w:rPr>
          <w:b/>
        </w:rPr>
        <w:t xml:space="preserve">Горизонт прогноза (forecast horizon) — </w:t>
      </w:r>
      <w:r>
        <w:t>насколько далеко вперёд строится прогноз.</w:t>
      </w:r>
      <w:r>
        <w:rPr>
          <w:i/>
          <w:color w:val="464646"/>
        </w:rPr>
        <w:t xml:space="preserve"> Пример: горизонт 28 дней означает прогноз каждого из следующих 28 дней.</w:t>
      </w:r>
    </w:p>
    <w:p>
      <w:pPr>
        <w:keepLines/>
        <w:spacing w:after="120"/>
      </w:pPr>
      <w:r>
        <w:rPr>
          <w:b/>
        </w:rPr>
        <w:t xml:space="preserve">Частота данных (frequency) — </w:t>
      </w:r>
      <w:r>
        <w:t>шаг между наблюдениями.</w:t>
      </w:r>
      <w:r>
        <w:rPr>
          <w:i/>
          <w:color w:val="464646"/>
        </w:rPr>
        <w:t xml:space="preserve"> Пример: почасовые, дневные или недельные продажи.</w:t>
      </w:r>
    </w:p>
    <w:p>
      <w:pPr>
        <w:keepLines/>
        <w:spacing w:after="120"/>
      </w:pPr>
      <w:r>
        <w:rPr>
          <w:b/>
        </w:rPr>
        <w:t xml:space="preserve">Контекстное окно (context window) — </w:t>
      </w:r>
      <w:r>
        <w:t>какой объём прошлой истории модель видит перед прогнозом.</w:t>
      </w:r>
      <w:r>
        <w:rPr>
          <w:i/>
          <w:color w:val="464646"/>
        </w:rPr>
        <w:t xml:space="preserve"> Пример: последние 365 дней для прогноза следующего месяца.</w:t>
      </w:r>
    </w:p>
    <w:p>
      <w:pPr>
        <w:keepLines/>
        <w:spacing w:after="120"/>
      </w:pPr>
      <w:r>
        <w:rPr>
          <w:b/>
        </w:rPr>
        <w:t xml:space="preserve">Одномерный прогноз (univariate) — </w:t>
      </w:r>
      <w:r>
        <w:t>модель смотрит главным образом на один ряд и предсказывает его продолжение.</w:t>
      </w:r>
      <w:r>
        <w:rPr>
          <w:i/>
          <w:color w:val="464646"/>
        </w:rPr>
        <w:t xml:space="preserve"> Пример: продажи только одного магазина.</w:t>
      </w:r>
    </w:p>
    <w:p>
      <w:pPr>
        <w:keepLines/>
        <w:spacing w:after="120"/>
      </w:pPr>
      <w:r>
        <w:rPr>
          <w:b/>
        </w:rPr>
        <w:t xml:space="preserve">Многомерный прогноз (multivariate) — </w:t>
      </w:r>
      <w:r>
        <w:t>модель одновременно учитывает несколько связанных рядов или показателей.</w:t>
      </w:r>
      <w:r>
        <w:rPr>
          <w:i/>
          <w:color w:val="464646"/>
        </w:rPr>
        <w:t xml:space="preserve"> Пример: продажи мороженого, температуру, цену и трафик магазина.</w:t>
      </w:r>
    </w:p>
    <w:p>
      <w:pPr>
        <w:keepLines/>
        <w:spacing w:after="120"/>
      </w:pPr>
      <w:r>
        <w:rPr>
          <w:b/>
        </w:rPr>
        <w:t xml:space="preserve">Локальная модель (local model) — </w:t>
      </w:r>
      <w:r>
        <w:t>отдельная модель для каждого ряда.</w:t>
      </w:r>
      <w:r>
        <w:rPr>
          <w:i/>
          <w:color w:val="464646"/>
        </w:rPr>
        <w:t xml:space="preserve"> Пример: свой алгоритм для каждого магазина.</w:t>
      </w:r>
    </w:p>
    <w:p>
      <w:pPr>
        <w:keepLines/>
        <w:spacing w:after="120"/>
      </w:pPr>
      <w:r>
        <w:rPr>
          <w:b/>
        </w:rPr>
        <w:t xml:space="preserve">Глобальная модель (global model) — </w:t>
      </w:r>
      <w:r>
        <w:t>одна модель обучается сразу на множестве рядов и находит общие закономерности.</w:t>
      </w:r>
      <w:r>
        <w:rPr>
          <w:i/>
          <w:color w:val="464646"/>
        </w:rPr>
        <w:t xml:space="preserve"> Пример: общая модель для тысячи магазинов.</w:t>
      </w:r>
    </w:p>
    <w:p>
      <w:pPr>
        <w:keepLines/>
        <w:spacing w:after="120"/>
      </w:pPr>
      <w:r>
        <w:rPr>
          <w:b/>
        </w:rPr>
        <w:t xml:space="preserve">Ковариаты (covariates) — </w:t>
      </w:r>
      <w:r>
        <w:t>дополнительные факторы, которые помогают объяснить будущий результат.</w:t>
      </w:r>
      <w:r>
        <w:rPr>
          <w:i/>
          <w:color w:val="464646"/>
        </w:rPr>
        <w:t xml:space="preserve"> Пример: температура, цена, скидка, праздник и рекламная кампания.</w:t>
      </w:r>
    </w:p>
    <w:p>
      <w:pPr>
        <w:keepLines/>
        <w:spacing w:after="120"/>
      </w:pPr>
      <w:r>
        <w:rPr>
          <w:b/>
        </w:rPr>
        <w:t xml:space="preserve">Прошлые ковариаты (past-only covariates) — </w:t>
      </w:r>
      <w:r>
        <w:t>факторы, известные только до момента создания прогноза.</w:t>
      </w:r>
      <w:r>
        <w:rPr>
          <w:i/>
          <w:color w:val="464646"/>
        </w:rPr>
        <w:t xml:space="preserve"> Пример: фактический поток посетителей вчера.</w:t>
      </w:r>
    </w:p>
    <w:p>
      <w:pPr>
        <w:keepLines/>
        <w:spacing w:after="120"/>
      </w:pPr>
      <w:r>
        <w:rPr>
          <w:b/>
        </w:rPr>
        <w:t xml:space="preserve">Известные будущие ковариаты (known-future covariates) — </w:t>
      </w:r>
      <w:r>
        <w:t>факторы, значения которых заранее известны или запланированы на период прогноза.</w:t>
      </w:r>
      <w:r>
        <w:rPr>
          <w:i/>
          <w:color w:val="464646"/>
        </w:rPr>
        <w:t xml:space="preserve"> Пример: календарь праздников, будущая цена и план промо.</w:t>
      </w:r>
    </w:p>
    <w:p>
      <w:pPr>
        <w:keepLines/>
        <w:spacing w:after="120"/>
      </w:pPr>
      <w:r>
        <w:rPr>
          <w:b/>
        </w:rPr>
        <w:t xml:space="preserve">Точечный прогноз (point forecast) — </w:t>
      </w:r>
      <w:r>
        <w:t>одно наиболее вероятное число.</w:t>
      </w:r>
      <w:r>
        <w:rPr>
          <w:i/>
          <w:color w:val="464646"/>
        </w:rPr>
        <w:t xml:space="preserve"> Пример: завтра будет продано 120 упаковок.</w:t>
      </w:r>
    </w:p>
    <w:p>
      <w:pPr>
        <w:keepLines/>
        <w:spacing w:after="120"/>
      </w:pPr>
      <w:r>
        <w:rPr>
          <w:b/>
        </w:rPr>
        <w:t xml:space="preserve">Вероятностный прогноз (probabilistic forecast) — </w:t>
      </w:r>
      <w:r>
        <w:t>не одно число, а распределение возможных результатов или несколько квантилей.</w:t>
      </w:r>
      <w:r>
        <w:rPr>
          <w:i/>
          <w:color w:val="464646"/>
        </w:rPr>
        <w:t xml:space="preserve"> Пример: обычно около 120, но вероятный диапазон составляет 90–155.</w:t>
      </w:r>
    </w:p>
    <w:p>
      <w:pPr>
        <w:pStyle w:val="Heading2"/>
      </w:pPr>
      <w:r>
        <w:t>Модели и способы обучения</w:t>
      </w:r>
    </w:p>
    <w:p>
      <w:pPr>
        <w:keepLines/>
        <w:spacing w:after="120"/>
      </w:pPr>
      <w:r>
        <w:rPr>
          <w:b/>
        </w:rPr>
        <w:t xml:space="preserve">SOTA (state of the art) — </w:t>
      </w:r>
      <w:r>
        <w:t>лучший известный результат в конкретном тесте и при конкретных условиях. Это не вечный и не универсальный чемпион.</w:t>
      </w:r>
      <w:r>
        <w:rPr>
          <w:i/>
          <w:color w:val="464646"/>
        </w:rPr>
        <w:t xml:space="preserve"> Пример: модель может быть первой на публичном тесте, но проиграть на продажах конкретной компании.</w:t>
      </w:r>
    </w:p>
    <w:p>
      <w:pPr>
        <w:keepLines/>
        <w:spacing w:after="120"/>
      </w:pPr>
      <w:r>
        <w:rPr>
          <w:b/>
        </w:rPr>
        <w:t xml:space="preserve">Baseline — </w:t>
      </w:r>
      <w:r>
        <w:t>простая отправная модель, которую более сложный метод обязан превзойти.</w:t>
      </w:r>
      <w:r>
        <w:rPr>
          <w:i/>
          <w:color w:val="464646"/>
        </w:rPr>
        <w:t xml:space="preserve"> Пример: считать, что продажи следующего понедельника будут как в прошлый понедельник.</w:t>
      </w:r>
    </w:p>
    <w:p>
      <w:pPr>
        <w:keepLines/>
        <w:spacing w:after="120"/>
      </w:pPr>
      <w:r>
        <w:rPr>
          <w:b/>
        </w:rPr>
        <w:t xml:space="preserve">Naive model — </w:t>
      </w:r>
      <w:r>
        <w:t>самый простой прогноз, обычно равный последнему известному значению.</w:t>
      </w:r>
      <w:r>
        <w:rPr>
          <w:i/>
          <w:color w:val="464646"/>
        </w:rPr>
        <w:t xml:space="preserve"> Пример: завтра ожидается столько же продаж, сколько сегодня.</w:t>
      </w:r>
    </w:p>
    <w:p>
      <w:pPr>
        <w:keepLines/>
        <w:spacing w:after="120"/>
      </w:pPr>
      <w:r>
        <w:rPr>
          <w:b/>
        </w:rPr>
        <w:t xml:space="preserve">Seasonal Naive — </w:t>
      </w:r>
      <w:r>
        <w:t>прогноз, повторяющий значение соответствующего прошлого сезона.</w:t>
      </w:r>
      <w:r>
        <w:rPr>
          <w:i/>
          <w:color w:val="464646"/>
        </w:rPr>
        <w:t xml:space="preserve"> Пример: прогноз на понедельник равен продажам прошлого понедельника.</w:t>
      </w:r>
    </w:p>
    <w:p>
      <w:pPr>
        <w:keepLines/>
        <w:spacing w:after="120"/>
      </w:pPr>
      <w:r>
        <w:rPr>
          <w:b/>
        </w:rPr>
        <w:t xml:space="preserve">Статистические модели — </w:t>
      </w:r>
      <w:r>
        <w:t>классические формулы, которые описывают уровень, тренд, сезонность и случайный шум.</w:t>
      </w:r>
      <w:r>
        <w:rPr>
          <w:i/>
          <w:color w:val="464646"/>
        </w:rPr>
        <w:t xml:space="preserve"> Пример: ETS, ARIMA и Theta.</w:t>
      </w:r>
    </w:p>
    <w:p>
      <w:pPr>
        <w:keepLines/>
        <w:spacing w:after="120"/>
      </w:pPr>
      <w:r>
        <w:rPr>
          <w:b/>
        </w:rPr>
        <w:t xml:space="preserve">ETS — </w:t>
      </w:r>
      <w:r>
        <w:t>семейство моделей, отдельно отслеживающих уровень ряда, тренд и сезонность.</w:t>
      </w:r>
      <w:r>
        <w:rPr>
          <w:i/>
          <w:color w:val="464646"/>
        </w:rPr>
        <w:t xml:space="preserve"> Пример: продажи постепенно растут, а каждые выходные повторяется подъём.</w:t>
      </w:r>
    </w:p>
    <w:p>
      <w:pPr>
        <w:keepLines/>
        <w:spacing w:after="120"/>
      </w:pPr>
      <w:r>
        <w:rPr>
          <w:b/>
        </w:rPr>
        <w:t xml:space="preserve">ARIMA — </w:t>
      </w:r>
      <w:r>
        <w:t>модель, которая связывает текущее значение с прошлыми значениями и прошлыми ошибками.</w:t>
      </w:r>
      <w:r>
        <w:rPr>
          <w:i/>
          <w:color w:val="464646"/>
        </w:rPr>
        <w:t xml:space="preserve"> Пример: всплеск последних дней влияет на ближайший прогноз.</w:t>
      </w:r>
    </w:p>
    <w:p>
      <w:pPr>
        <w:keepLines/>
        <w:spacing w:after="120"/>
      </w:pPr>
      <w:r>
        <w:rPr>
          <w:b/>
        </w:rPr>
        <w:t xml:space="preserve">Gradient Boosting или GBM — </w:t>
      </w:r>
      <w:r>
        <w:t>набор небольших решающих деревьев, которые последовательно исправляют ошибки друг друга.</w:t>
      </w:r>
      <w:r>
        <w:rPr>
          <w:i/>
          <w:color w:val="464646"/>
        </w:rPr>
        <w:t xml:space="preserve"> Пример: LightGBM или CatBoost использует лаги, цену, погоду и календарь.</w:t>
      </w:r>
    </w:p>
    <w:p>
      <w:pPr>
        <w:keepLines/>
        <w:spacing w:after="120"/>
      </w:pPr>
      <w:r>
        <w:rPr>
          <w:b/>
        </w:rPr>
        <w:t xml:space="preserve">Deep learning — </w:t>
      </w:r>
      <w:r>
        <w:t>модели с многослойными нейронными сетями, способные изучать сложные зависимости.</w:t>
      </w:r>
      <w:r>
        <w:rPr>
          <w:i/>
          <w:color w:val="464646"/>
        </w:rPr>
        <w:t xml:space="preserve"> Пример: N-HiTS, TFT или PatchTST.</w:t>
      </w:r>
    </w:p>
    <w:p>
      <w:pPr>
        <w:keepLines/>
        <w:spacing w:after="120"/>
      </w:pPr>
      <w:r>
        <w:rPr>
          <w:b/>
        </w:rPr>
        <w:t xml:space="preserve">Foundation model — </w:t>
      </w:r>
      <w:r>
        <w:t>крупная заранее обученная универсальная модель, которую можно применять к новым наборам данных.</w:t>
      </w:r>
      <w:r>
        <w:rPr>
          <w:i/>
          <w:color w:val="464646"/>
        </w:rPr>
        <w:t xml:space="preserve"> Пример: как языковая модель, но вместо текста она продолжает временные ряды.</w:t>
      </w:r>
    </w:p>
    <w:p>
      <w:pPr>
        <w:keepLines/>
        <w:spacing w:after="120"/>
      </w:pPr>
      <w:r>
        <w:rPr>
          <w:b/>
        </w:rPr>
        <w:t xml:space="preserve">TSFM — </w:t>
      </w:r>
      <w:r>
        <w:t>сокращение от Time Series Foundation Model — foundation-модель именно для временных рядов.</w:t>
      </w:r>
      <w:r>
        <w:rPr>
          <w:i/>
          <w:color w:val="464646"/>
        </w:rPr>
        <w:t xml:space="preserve"> Пример: TimesFM, Chronos, Toto, Moirai и TTM.</w:t>
      </w:r>
    </w:p>
    <w:p>
      <w:pPr>
        <w:keepLines/>
        <w:spacing w:after="120"/>
      </w:pPr>
      <w:r>
        <w:rPr>
          <w:b/>
        </w:rPr>
        <w:t xml:space="preserve">Zero-shot — </w:t>
      </w:r>
      <w:r>
        <w:t>модель применяют к новым данным без дополнительного обучения на них.</w:t>
      </w:r>
      <w:r>
        <w:rPr>
          <w:i/>
          <w:color w:val="464646"/>
        </w:rPr>
        <w:t xml:space="preserve"> Пример: Chronos сразу прогнозирует продажи нового магазина.</w:t>
      </w:r>
    </w:p>
    <w:p>
      <w:pPr>
        <w:keepLines/>
        <w:spacing w:after="120"/>
      </w:pPr>
      <w:r>
        <w:rPr>
          <w:b/>
        </w:rPr>
        <w:t xml:space="preserve">Few-shot — </w:t>
      </w:r>
      <w:r>
        <w:t>модели дают небольшой объём примеров или короткую локальную историю для адаптации.</w:t>
      </w:r>
      <w:r>
        <w:rPr>
          <w:i/>
          <w:color w:val="464646"/>
        </w:rPr>
        <w:t xml:space="preserve"> Пример: несколько месяцев продаж нового магазина.</w:t>
      </w:r>
    </w:p>
    <w:p>
      <w:pPr>
        <w:keepLines/>
        <w:spacing w:after="120"/>
      </w:pPr>
      <w:r>
        <w:rPr>
          <w:b/>
        </w:rPr>
        <w:t xml:space="preserve">Fine-tuning — </w:t>
      </w:r>
      <w:r>
        <w:t>дополнительное обучение готовой модели на данных конкретной компании или отрасли.</w:t>
      </w:r>
      <w:r>
        <w:rPr>
          <w:i/>
          <w:color w:val="464646"/>
        </w:rPr>
        <w:t xml:space="preserve"> Пример: общую TSFM дообучают на истории розничных продаж.</w:t>
      </w:r>
    </w:p>
    <w:p>
      <w:pPr>
        <w:keepLines/>
        <w:spacing w:after="120"/>
      </w:pPr>
      <w:r>
        <w:rPr>
          <w:b/>
        </w:rPr>
        <w:t xml:space="preserve">LoRA — </w:t>
      </w:r>
      <w:r>
        <w:t>экономный вид fine-tuning: изменяется небольшая добавка к модели, а основные веса остаются неизменными.</w:t>
      </w:r>
      <w:r>
        <w:rPr>
          <w:i/>
          <w:color w:val="464646"/>
        </w:rPr>
        <w:t xml:space="preserve"> Пример: адаптация крупной модели с меньшими затратами памяти.</w:t>
      </w:r>
    </w:p>
    <w:p>
      <w:pPr>
        <w:keepLines/>
        <w:spacing w:after="120"/>
      </w:pPr>
      <w:r>
        <w:rPr>
          <w:b/>
        </w:rPr>
        <w:t xml:space="preserve">In-context learning — </w:t>
      </w:r>
      <w:r>
        <w:t>адаптация по примерам, переданным во входных данных, без изменения весов модели.</w:t>
      </w:r>
      <w:r>
        <w:rPr>
          <w:i/>
          <w:color w:val="464646"/>
        </w:rPr>
        <w:t xml:space="preserve"> Пример: модель видит несколько похожих рядов и использует их как подсказку.</w:t>
      </w:r>
    </w:p>
    <w:p>
      <w:pPr>
        <w:keepLines/>
        <w:spacing w:after="120"/>
      </w:pPr>
      <w:r>
        <w:rPr>
          <w:b/>
        </w:rPr>
        <w:t xml:space="preserve">Ансамбль (ensemble) — </w:t>
      </w:r>
      <w:r>
        <w:t>объединение прогнозов нескольких моделей, чтобы уменьшить риск ошибки одной из них.</w:t>
      </w:r>
      <w:r>
        <w:rPr>
          <w:i/>
          <w:color w:val="464646"/>
        </w:rPr>
        <w:t xml:space="preserve"> Пример: среднее или взвешенное сочетание GBM, Chronos и ETS.</w:t>
      </w:r>
    </w:p>
    <w:p>
      <w:pPr>
        <w:pStyle w:val="Heading2"/>
      </w:pPr>
      <w:r>
        <w:t>Как устроены современные Transformer модели</w:t>
      </w:r>
    </w:p>
    <w:p>
      <w:pPr>
        <w:keepLines/>
        <w:spacing w:after="120"/>
      </w:pPr>
      <w:r>
        <w:rPr>
          <w:b/>
        </w:rPr>
        <w:t xml:space="preserve">Transformer — </w:t>
      </w:r>
      <w:r>
        <w:t>архитектура нейросети, которая умеет определять, какие части входных данных важнее для прогноза.</w:t>
      </w:r>
      <w:r>
        <w:rPr>
          <w:i/>
          <w:color w:val="464646"/>
        </w:rPr>
        <w:t xml:space="preserve"> Пример: модель замечает, что последние выходные и аналогичная жара год назад особенно важны.</w:t>
      </w:r>
    </w:p>
    <w:p>
      <w:pPr>
        <w:keepLines/>
        <w:spacing w:after="120"/>
      </w:pPr>
      <w:r>
        <w:rPr>
          <w:b/>
        </w:rPr>
        <w:t xml:space="preserve">Attention — </w:t>
      </w:r>
      <w:r>
        <w:t>механизм внимания: модель назначает разный вес разным фрагментам истории и признакам.</w:t>
      </w:r>
      <w:r>
        <w:rPr>
          <w:i/>
          <w:color w:val="464646"/>
        </w:rPr>
        <w:t xml:space="preserve"> Пример: промо прошлой недели важнее случайного дня полгода назад.</w:t>
      </w:r>
    </w:p>
    <w:p>
      <w:pPr>
        <w:keepLines/>
        <w:spacing w:after="120"/>
      </w:pPr>
      <w:r>
        <w:rPr>
          <w:b/>
        </w:rPr>
        <w:t xml:space="preserve">Temporal attention — </w:t>
      </w:r>
      <w:r>
        <w:t>внимание между разными моментами времени.</w:t>
      </w:r>
      <w:r>
        <w:rPr>
          <w:i/>
          <w:color w:val="464646"/>
        </w:rPr>
        <w:t xml:space="preserve"> Пример: связь сегодняшних продаж с продажами неделю назад.</w:t>
      </w:r>
    </w:p>
    <w:p>
      <w:pPr>
        <w:keepLines/>
        <w:spacing w:after="120"/>
      </w:pPr>
      <w:r>
        <w:rPr>
          <w:b/>
        </w:rPr>
        <w:t xml:space="preserve">Variate attention — </w:t>
      </w:r>
      <w:r>
        <w:t>внимание между разными переменными или рядами.</w:t>
      </w:r>
      <w:r>
        <w:rPr>
          <w:i/>
          <w:color w:val="464646"/>
        </w:rPr>
        <w:t xml:space="preserve"> Пример: как температура и цена связаны с продажами.</w:t>
      </w:r>
    </w:p>
    <w:p>
      <w:pPr>
        <w:keepLines/>
        <w:spacing w:after="120"/>
      </w:pPr>
      <w:r>
        <w:rPr>
          <w:b/>
        </w:rPr>
        <w:t xml:space="preserve">Group attention — </w:t>
      </w:r>
      <w:r>
        <w:t>внимание внутри группы связанных рядов.</w:t>
      </w:r>
      <w:r>
        <w:rPr>
          <w:i/>
          <w:color w:val="464646"/>
        </w:rPr>
        <w:t xml:space="preserve"> Пример: магазины одного региона сравниваются между собой, а не со всеми рядами без разбора.</w:t>
      </w:r>
    </w:p>
    <w:p>
      <w:pPr>
        <w:keepLines/>
        <w:spacing w:after="120"/>
      </w:pPr>
      <w:r>
        <w:rPr>
          <w:b/>
        </w:rPr>
        <w:t xml:space="preserve">Token — </w:t>
      </w:r>
      <w:r>
        <w:t>внутренняя единица информации, с которой работает Transformer.</w:t>
      </w:r>
      <w:r>
        <w:rPr>
          <w:i/>
          <w:color w:val="464646"/>
        </w:rPr>
        <w:t xml:space="preserve"> Пример: число, фрагмент ряда или преобразованный блок нескольких наблюдений.</w:t>
      </w:r>
    </w:p>
    <w:p>
      <w:pPr>
        <w:keepLines/>
        <w:spacing w:after="120"/>
      </w:pPr>
      <w:r>
        <w:rPr>
          <w:b/>
        </w:rPr>
        <w:t xml:space="preserve">Tokenization — </w:t>
      </w:r>
      <w:r>
        <w:t>преобразование исходных чисел во внутренние единицы модели.</w:t>
      </w:r>
      <w:r>
        <w:rPr>
          <w:i/>
          <w:color w:val="464646"/>
        </w:rPr>
        <w:t xml:space="preserve"> Пример: дневные продажи переводятся в представление, понятное нейросети.</w:t>
      </w:r>
    </w:p>
    <w:p>
      <w:pPr>
        <w:keepLines/>
        <w:spacing w:after="120"/>
      </w:pPr>
      <w:r>
        <w:rPr>
          <w:b/>
        </w:rPr>
        <w:t xml:space="preserve">Patch — </w:t>
      </w:r>
      <w:r>
        <w:t>небольшой блок соседних точек времени, обрабатываемый как единое целое.</w:t>
      </w:r>
      <w:r>
        <w:rPr>
          <w:i/>
          <w:color w:val="464646"/>
        </w:rPr>
        <w:t xml:space="preserve"> Пример: модель рассматривает неделю из семи дней одним фрагментом.</w:t>
      </w:r>
    </w:p>
    <w:p>
      <w:pPr>
        <w:keepLines/>
        <w:spacing w:after="120"/>
      </w:pPr>
      <w:r>
        <w:rPr>
          <w:b/>
        </w:rPr>
        <w:t xml:space="preserve">Patch-based model — </w:t>
      </w:r>
      <w:r>
        <w:t>модель, которая работает с блоками точек, а не с каждой точкой отдельно. Это ускоряет обработку длинной истории.</w:t>
      </w:r>
      <w:r>
        <w:rPr>
          <w:i/>
          <w:color w:val="464646"/>
        </w:rPr>
        <w:t xml:space="preserve"> Пример: год дневных данных превращается в последовательность недельных блоков.</w:t>
      </w:r>
    </w:p>
    <w:p>
      <w:pPr>
        <w:keepLines/>
        <w:spacing w:after="120"/>
      </w:pPr>
      <w:r>
        <w:rPr>
          <w:b/>
        </w:rPr>
        <w:t xml:space="preserve">Decoder-only — </w:t>
      </w:r>
      <w:r>
        <w:t>архитектура, которая по уже известному контексту генерирует продолжение последовательности.</w:t>
      </w:r>
      <w:r>
        <w:rPr>
          <w:i/>
          <w:color w:val="464646"/>
        </w:rPr>
        <w:t xml:space="preserve"> Пример: по прошлым продажам строится следующий фрагмент будущего.</w:t>
      </w:r>
    </w:p>
    <w:p>
      <w:pPr>
        <w:keepLines/>
        <w:spacing w:after="120"/>
      </w:pPr>
      <w:r>
        <w:rPr>
          <w:b/>
        </w:rPr>
        <w:t xml:space="preserve">Single-pass forecast — </w:t>
      </w:r>
      <w:r>
        <w:t>модель создаёт весь нужный горизонт за один проход, а не запускается отдельно для каждого будущего шага.</w:t>
      </w:r>
      <w:r>
        <w:rPr>
          <w:i/>
          <w:color w:val="464646"/>
        </w:rPr>
        <w:t xml:space="preserve"> Пример: сразу выдаёт все 28 дней.</w:t>
      </w:r>
    </w:p>
    <w:p>
      <w:pPr>
        <w:keepLines/>
        <w:spacing w:after="120"/>
      </w:pPr>
      <w:r>
        <w:rPr>
          <w:b/>
        </w:rPr>
        <w:t xml:space="preserve">Multi-token prediction — </w:t>
      </w:r>
      <w:r>
        <w:t>во время обучения модель учится предсказывать сразу несколько будущих блоков.</w:t>
      </w:r>
      <w:r>
        <w:rPr>
          <w:i/>
          <w:color w:val="464646"/>
        </w:rPr>
        <w:t xml:space="preserve"> Пример: следующие четыре недели, а не только следующий день.</w:t>
      </w:r>
    </w:p>
    <w:p>
      <w:pPr>
        <w:keepLines/>
        <w:spacing w:after="120"/>
      </w:pPr>
      <w:r>
        <w:rPr>
          <w:b/>
        </w:rPr>
        <w:t xml:space="preserve">Mixture of Experts или MoE — </w:t>
      </w:r>
      <w:r>
        <w:t>внутри модели есть несколько специализированных частей; для каждого примера включаются только наиболее подходящие.</w:t>
      </w:r>
      <w:r>
        <w:rPr>
          <w:i/>
          <w:color w:val="464646"/>
        </w:rPr>
        <w:t xml:space="preserve"> Пример: один «эксперт» лучше обрабатывает сезонность, другой — резкие изменения.</w:t>
      </w:r>
    </w:p>
    <w:p>
      <w:pPr>
        <w:pStyle w:val="Heading2"/>
      </w:pPr>
      <w:r>
        <w:t>Честная проверка качества</w:t>
      </w:r>
    </w:p>
    <w:p>
      <w:pPr>
        <w:keepLines/>
        <w:spacing w:after="120"/>
      </w:pPr>
      <w:r>
        <w:rPr>
          <w:b/>
        </w:rPr>
        <w:t xml:space="preserve">Train set — </w:t>
      </w:r>
      <w:r>
        <w:t>часть истории, на которой модель учится.</w:t>
      </w:r>
      <w:r>
        <w:rPr>
          <w:i/>
          <w:color w:val="464646"/>
        </w:rPr>
        <w:t xml:space="preserve"> Пример: продажи за 2023–2025 годы.</w:t>
      </w:r>
    </w:p>
    <w:p>
      <w:pPr>
        <w:keepLines/>
        <w:spacing w:after="120"/>
      </w:pPr>
      <w:r>
        <w:rPr>
          <w:b/>
        </w:rPr>
        <w:t xml:space="preserve">Validation set — </w:t>
      </w:r>
      <w:r>
        <w:t>отдельный период для выбора модели и настроек.</w:t>
      </w:r>
      <w:r>
        <w:rPr>
          <w:i/>
          <w:color w:val="464646"/>
        </w:rPr>
        <w:t xml:space="preserve"> Пример: первые месяцы 2026 года.</w:t>
      </w:r>
    </w:p>
    <w:p>
      <w:pPr>
        <w:keepLines/>
        <w:spacing w:after="120"/>
      </w:pPr>
      <w:r>
        <w:rPr>
          <w:b/>
        </w:rPr>
        <w:t xml:space="preserve">Test set или holdout — </w:t>
      </w:r>
      <w:r>
        <w:t>данные для финального независимого экзамена.</w:t>
      </w:r>
      <w:r>
        <w:rPr>
          <w:i/>
          <w:color w:val="464646"/>
        </w:rPr>
        <w:t xml:space="preserve"> Пример: последние месяцы, которых модель и разработчик не видели при настройке.</w:t>
      </w:r>
    </w:p>
    <w:p>
      <w:pPr>
        <w:keepLines/>
        <w:spacing w:after="120"/>
      </w:pPr>
      <w:r>
        <w:rPr>
          <w:b/>
        </w:rPr>
        <w:t xml:space="preserve">Frozen или sealed holdout — </w:t>
      </w:r>
      <w:r>
        <w:t>тестовый период, который заранее зафиксирован и закрыт до завершения выбора модели.</w:t>
      </w:r>
      <w:r>
        <w:rPr>
          <w:i/>
          <w:color w:val="464646"/>
        </w:rPr>
        <w:t xml:space="preserve"> Пример: агент не может многократно подгонять решения под итоговый экзамен.</w:t>
      </w:r>
    </w:p>
    <w:p>
      <w:pPr>
        <w:keepLines/>
        <w:spacing w:after="120"/>
      </w:pPr>
      <w:r>
        <w:rPr>
          <w:b/>
        </w:rPr>
        <w:t xml:space="preserve">Out-of-sample — </w:t>
      </w:r>
      <w:r>
        <w:t>результат на данных, не использованных при обучении и выборе параметров.</w:t>
      </w:r>
      <w:r>
        <w:rPr>
          <w:i/>
          <w:color w:val="464646"/>
        </w:rPr>
        <w:t xml:space="preserve"> Пример: качество на действительно будущем периоде.</w:t>
      </w:r>
    </w:p>
    <w:p>
      <w:pPr>
        <w:keepLines/>
        <w:spacing w:after="120"/>
      </w:pPr>
      <w:r>
        <w:rPr>
          <w:b/>
        </w:rPr>
        <w:t xml:space="preserve">Backtest — </w:t>
      </w:r>
      <w:r>
        <w:t>имитация прошлых прогнозов: мы перемещаемся назад во времени и проверяем, что модель сказала бы тогда.</w:t>
      </w:r>
      <w:r>
        <w:rPr>
          <w:i/>
          <w:color w:val="464646"/>
        </w:rPr>
        <w:t xml:space="preserve"> Пример: строим прогноз из каждой прошлой недели и сравниваем с фактом.</w:t>
      </w:r>
    </w:p>
    <w:p>
      <w:pPr>
        <w:keepLines/>
        <w:spacing w:after="120"/>
      </w:pPr>
      <w:r>
        <w:rPr>
          <w:b/>
        </w:rPr>
        <w:t xml:space="preserve">Rolling-origin backtest — </w:t>
      </w:r>
      <w:r>
        <w:t>несколько последовательных экзаменов с разными датами начала прогноза.</w:t>
      </w:r>
      <w:r>
        <w:rPr>
          <w:i/>
          <w:color w:val="464646"/>
        </w:rPr>
        <w:t xml:space="preserve"> Пример: прогнозы на февраль, март, апрель и май, каждый только по доступной на тот момент истории.</w:t>
      </w:r>
    </w:p>
    <w:p>
      <w:pPr>
        <w:keepLines/>
        <w:spacing w:after="120"/>
      </w:pPr>
      <w:r>
        <w:rPr>
          <w:b/>
        </w:rPr>
        <w:t xml:space="preserve">Expanding window — </w:t>
      </w:r>
      <w:r>
        <w:t>при каждом новом тесте обучающее окно расширяется и включает всю накопленную историю.</w:t>
      </w:r>
      <w:r>
        <w:rPr>
          <w:i/>
          <w:color w:val="464646"/>
        </w:rPr>
        <w:t xml:space="preserve"> Пример: сначала два года данных, затем два года и месяц.</w:t>
      </w:r>
    </w:p>
    <w:p>
      <w:pPr>
        <w:keepLines/>
        <w:spacing w:after="120"/>
      </w:pPr>
      <w:r>
        <w:rPr>
          <w:b/>
        </w:rPr>
        <w:t xml:space="preserve">Sliding window — </w:t>
      </w:r>
      <w:r>
        <w:t>модель всегда использует только последний фиксированный отрезок истории.</w:t>
      </w:r>
      <w:r>
        <w:rPr>
          <w:i/>
          <w:color w:val="464646"/>
        </w:rPr>
        <w:t xml:space="preserve"> Пример: только последние 365 дней, чтобы старый режим не мешал.</w:t>
      </w:r>
    </w:p>
    <w:p>
      <w:pPr>
        <w:keepLines/>
        <w:spacing w:after="120"/>
      </w:pPr>
      <w:r>
        <w:rPr>
          <w:b/>
        </w:rPr>
        <w:t xml:space="preserve">Data leakage — </w:t>
      </w:r>
      <w:r>
        <w:t>утечка информации из будущего в обучение. Она создаёт ложное впечатление высокой точности.</w:t>
      </w:r>
      <w:r>
        <w:rPr>
          <w:i/>
          <w:color w:val="464646"/>
        </w:rPr>
        <w:t xml:space="preserve"> Пример: использовать фактическую погоду будущего дня, хотя при реальном прогнозе она ещё не была известна.</w:t>
      </w:r>
    </w:p>
    <w:p>
      <w:pPr>
        <w:keepLines/>
        <w:spacing w:after="120"/>
      </w:pPr>
      <w:r>
        <w:rPr>
          <w:b/>
        </w:rPr>
        <w:t xml:space="preserve">Pretraining contamination — </w:t>
      </w:r>
      <w:r>
        <w:t>часть тестовых рядов могла уже попасть в предварительное обучение foundation-модели.</w:t>
      </w:r>
      <w:r>
        <w:rPr>
          <w:i/>
          <w:color w:val="464646"/>
        </w:rPr>
        <w:t xml:space="preserve"> Пример: модель как будто сдаёт экзамен, вопросы которого раньше видела.</w:t>
      </w:r>
    </w:p>
    <w:p>
      <w:pPr>
        <w:keepLines/>
        <w:spacing w:after="120"/>
      </w:pPr>
      <w:r>
        <w:rPr>
          <w:b/>
        </w:rPr>
        <w:t xml:space="preserve">Ablation test — </w:t>
      </w:r>
      <w:r>
        <w:t>эксперимент, в котором убирают один компонент и проверяют, действительно ли он полезен.</w:t>
      </w:r>
      <w:r>
        <w:rPr>
          <w:i/>
          <w:color w:val="464646"/>
        </w:rPr>
        <w:t xml:space="preserve"> Пример: сравнить модель с погодой и без погоды.</w:t>
      </w:r>
    </w:p>
    <w:p>
      <w:pPr>
        <w:keepLines/>
        <w:spacing w:after="120"/>
      </w:pPr>
      <w:r>
        <w:rPr>
          <w:b/>
        </w:rPr>
        <w:t xml:space="preserve">Hyperparameter optimization или HPO — </w:t>
      </w:r>
      <w:r>
        <w:t>автоматический подбор настроек модели.</w:t>
      </w:r>
      <w:r>
        <w:rPr>
          <w:i/>
          <w:color w:val="464646"/>
        </w:rPr>
        <w:t xml:space="preserve"> Пример: глубина деревьев, learning rate и длина контекстного окна.</w:t>
      </w:r>
    </w:p>
    <w:p>
      <w:pPr>
        <w:keepLines/>
        <w:spacing w:after="120"/>
      </w:pPr>
      <w:r>
        <w:rPr>
          <w:b/>
        </w:rPr>
        <w:t xml:space="preserve">Seed — </w:t>
      </w:r>
      <w:r>
        <w:t>начальное число для случайных операций. Повторение с разными seed показывает, устойчив ли результат.</w:t>
      </w:r>
      <w:r>
        <w:rPr>
          <w:i/>
          <w:color w:val="464646"/>
        </w:rPr>
        <w:t xml:space="preserve"> Пример: улучшение не должно исчезать из-за другой случайной инициализации.</w:t>
      </w:r>
    </w:p>
    <w:p>
      <w:pPr>
        <w:pStyle w:val="Heading2"/>
      </w:pPr>
      <w:r>
        <w:t>Метрики точности</w:t>
      </w:r>
    </w:p>
    <w:p>
      <w:pPr>
        <w:keepLines/>
        <w:spacing w:after="120"/>
      </w:pPr>
      <w:r>
        <w:rPr>
          <w:b/>
        </w:rPr>
        <w:t xml:space="preserve">Ошибка прогноза — </w:t>
      </w:r>
      <w:r>
        <w:t>разница между прогнозом и фактическим значением.</w:t>
      </w:r>
      <w:r>
        <w:rPr>
          <w:i/>
          <w:color w:val="464646"/>
        </w:rPr>
        <w:t xml:space="preserve"> Пример: прогноз 120, факт 100, абсолютная ошибка 20.</w:t>
      </w:r>
    </w:p>
    <w:p>
      <w:pPr>
        <w:keepLines/>
        <w:spacing w:after="120"/>
      </w:pPr>
      <w:r>
        <w:rPr>
          <w:b/>
        </w:rPr>
        <w:t xml:space="preserve">MAE — </w:t>
      </w:r>
      <w:r>
        <w:t>средняя абсолютная ошибка. Все промахи учитываются прямо в единицах показателя.</w:t>
      </w:r>
      <w:r>
        <w:rPr>
          <w:i/>
          <w:color w:val="464646"/>
        </w:rPr>
        <w:t xml:space="preserve"> Пример: MAE 15 означает средний промах примерно на 15 упаковок.</w:t>
      </w:r>
    </w:p>
    <w:p>
      <w:pPr>
        <w:keepLines/>
        <w:spacing w:after="120"/>
      </w:pPr>
      <w:r>
        <w:rPr>
          <w:b/>
        </w:rPr>
        <w:t xml:space="preserve">RMSE — </w:t>
      </w:r>
      <w:r>
        <w:t>метрика, которая сильнее штрафует крупные ошибки.</w:t>
      </w:r>
      <w:r>
        <w:rPr>
          <w:i/>
          <w:color w:val="464646"/>
        </w:rPr>
        <w:t xml:space="preserve"> Пример: один очень большой промах заметно ухудшит RMSE.</w:t>
      </w:r>
    </w:p>
    <w:p>
      <w:pPr>
        <w:keepLines/>
        <w:spacing w:after="120"/>
      </w:pPr>
      <w:r>
        <w:rPr>
          <w:b/>
        </w:rPr>
        <w:t xml:space="preserve">MASE — </w:t>
      </w:r>
      <w:r>
        <w:t>ошибка модели, делённая на ошибку простой наивной модели. Позволяет сравнивать ряды разного масштаба.</w:t>
      </w:r>
      <w:r>
        <w:rPr>
          <w:i/>
          <w:color w:val="464646"/>
        </w:rPr>
        <w:t xml:space="preserve"> Пример: MASE меньше 1 означает, что модель лучше baseline.</w:t>
      </w:r>
    </w:p>
    <w:p>
      <w:pPr>
        <w:keepLines/>
        <w:spacing w:after="120"/>
      </w:pPr>
      <w:r>
        <w:rPr>
          <w:b/>
        </w:rPr>
        <w:t xml:space="preserve">RMSSE — </w:t>
      </w:r>
      <w:r>
        <w:t>масштабированная версия квадратичной ошибки, особенно чувствительная к большим промахам.</w:t>
      </w:r>
      <w:r>
        <w:rPr>
          <w:i/>
          <w:color w:val="464646"/>
        </w:rPr>
        <w:t xml:space="preserve"> Пример: используется, когда крупные ошибки особенно дороги.</w:t>
      </w:r>
    </w:p>
    <w:p>
      <w:pPr>
        <w:keepLines/>
        <w:spacing w:after="120"/>
      </w:pPr>
      <w:r>
        <w:rPr>
          <w:b/>
        </w:rPr>
        <w:t xml:space="preserve">MAPE — </w:t>
      </w:r>
      <w:r>
        <w:t>средняя процентная ошибка. Понятна на словах, но становится нестабильной, если фактические значения близки к нулю.</w:t>
      </w:r>
      <w:r>
        <w:rPr>
          <w:i/>
          <w:color w:val="464646"/>
        </w:rPr>
        <w:t xml:space="preserve"> Пример: ошибка на 1 единицу при факте 1 превращается в 100%.</w:t>
      </w:r>
    </w:p>
    <w:p>
      <w:pPr>
        <w:keepLines/>
        <w:spacing w:after="120"/>
      </w:pPr>
      <w:r>
        <w:rPr>
          <w:b/>
        </w:rPr>
        <w:t xml:space="preserve">WAPE — </w:t>
      </w:r>
      <w:r>
        <w:t>сумма абсолютных ошибок, делённая на общий фактический объём. Удобна для бизнеса, но крупные ряды доминируют.</w:t>
      </w:r>
      <w:r>
        <w:rPr>
          <w:i/>
          <w:color w:val="464646"/>
        </w:rPr>
        <w:t xml:space="preserve"> Пример: общая ошибка относительно всех продаж сети.</w:t>
      </w:r>
    </w:p>
    <w:p>
      <w:pPr>
        <w:keepLines/>
        <w:spacing w:after="120"/>
      </w:pPr>
      <w:r>
        <w:rPr>
          <w:b/>
        </w:rPr>
        <w:t xml:space="preserve">Business loss — </w:t>
      </w:r>
      <w:r>
        <w:t>метрика, напрямую отражающая стоимость решения для бизнеса.</w:t>
      </w:r>
      <w:r>
        <w:rPr>
          <w:i/>
          <w:color w:val="464646"/>
        </w:rPr>
        <w:t xml:space="preserve"> Пример: дефицит товара штрафуется сильнее, чем небольшой избыток.</w:t>
      </w:r>
    </w:p>
    <w:p>
      <w:pPr>
        <w:keepLines/>
        <w:spacing w:after="120"/>
      </w:pPr>
      <w:r>
        <w:rPr>
          <w:b/>
        </w:rPr>
        <w:t xml:space="preserve">Pinball loss — </w:t>
      </w:r>
      <w:r>
        <w:t>ошибка отдельного квантильного прогноза с разным штрафом за недооценку и переоценку.</w:t>
      </w:r>
      <w:r>
        <w:rPr>
          <w:i/>
          <w:color w:val="464646"/>
        </w:rPr>
        <w:t xml:space="preserve"> Пример: для p90 сильнее наказывается слишком низкий прогноз.</w:t>
      </w:r>
    </w:p>
    <w:p>
      <w:pPr>
        <w:pStyle w:val="Heading2"/>
      </w:pPr>
      <w:r>
        <w:t>Интервалы и неопределённость</w:t>
      </w:r>
    </w:p>
    <w:p>
      <w:pPr>
        <w:keepLines/>
        <w:spacing w:after="120"/>
      </w:pPr>
      <w:r>
        <w:rPr>
          <w:b/>
        </w:rPr>
        <w:t xml:space="preserve">Квантиль — </w:t>
      </w:r>
      <w:r>
        <w:t>граница, ниже которой должно находиться заданное количество будущих результатов.</w:t>
      </w:r>
      <w:r>
        <w:rPr>
          <w:i/>
          <w:color w:val="464646"/>
        </w:rPr>
        <w:t xml:space="preserve"> Пример: p90 = 160 означает, что примерно в 90% случаев результат ожидается не выше 160.</w:t>
      </w:r>
    </w:p>
    <w:p>
      <w:pPr>
        <w:keepLines/>
        <w:spacing w:after="120"/>
      </w:pPr>
      <w:r>
        <w:rPr>
          <w:b/>
        </w:rPr>
        <w:t xml:space="preserve">p10, p50 и p90 — </w:t>
      </w:r>
      <w:r>
        <w:t>нижний сценарий, медианный прогноз и верхний сценарий.</w:t>
      </w:r>
      <w:r>
        <w:rPr>
          <w:i/>
          <w:color w:val="464646"/>
        </w:rPr>
        <w:t xml:space="preserve"> Пример: p10 = 90, p50 = 120, p90 = 160.</w:t>
      </w:r>
    </w:p>
    <w:p>
      <w:pPr>
        <w:keepLines/>
        <w:spacing w:after="120"/>
      </w:pPr>
      <w:r>
        <w:rPr>
          <w:b/>
        </w:rPr>
        <w:t xml:space="preserve">Predictive distribution — </w:t>
      </w:r>
      <w:r>
        <w:t>полное описание вероятностей разных будущих значений.</w:t>
      </w:r>
      <w:r>
        <w:rPr>
          <w:i/>
          <w:color w:val="464646"/>
        </w:rPr>
        <w:t xml:space="preserve"> Пример: не только диапазон, но и то, какие значения внутри него вероятнее.</w:t>
      </w:r>
    </w:p>
    <w:p>
      <w:pPr>
        <w:keepLines/>
        <w:spacing w:after="120"/>
      </w:pPr>
      <w:r>
        <w:rPr>
          <w:b/>
        </w:rPr>
        <w:t xml:space="preserve">Prediction interval — </w:t>
      </w:r>
      <w:r>
        <w:t>диапазон, в который с заданной вероятностью должно попасть будущее наблюдение.</w:t>
      </w:r>
      <w:r>
        <w:rPr>
          <w:i/>
          <w:color w:val="464646"/>
        </w:rPr>
        <w:t xml:space="preserve"> Пример: 90%-й интервал продаж — от 85 до 165.</w:t>
      </w:r>
    </w:p>
    <w:p>
      <w:pPr>
        <w:keepLines/>
        <w:spacing w:after="120"/>
      </w:pPr>
      <w:r>
        <w:rPr>
          <w:b/>
        </w:rPr>
        <w:t xml:space="preserve">Confidence interval — </w:t>
      </w:r>
      <w:r>
        <w:t>диапазон неопределённости оценённого параметра или разницы между моделями. Это не диапазон будущих продаж.</w:t>
      </w:r>
      <w:r>
        <w:rPr>
          <w:i/>
          <w:color w:val="464646"/>
        </w:rPr>
        <w:t xml:space="preserve"> Пример: 95%-й интервал улучшения MAE составляет от 2% до 7%.</w:t>
      </w:r>
    </w:p>
    <w:p>
      <w:pPr>
        <w:keepLines/>
        <w:spacing w:after="120"/>
      </w:pPr>
      <w:r>
        <w:rPr>
          <w:b/>
        </w:rPr>
        <w:t xml:space="preserve">CI — </w:t>
      </w:r>
      <w:r>
        <w:t>сокращение, которое в отчёте используется в двух контекстах: интервалы прогноза и статистическая уверенность при сравнении моделей. Их нельзя смешивать.</w:t>
      </w:r>
    </w:p>
    <w:p>
      <w:pPr>
        <w:keepLines/>
        <w:spacing w:after="120"/>
      </w:pPr>
      <w:r>
        <w:rPr>
          <w:b/>
        </w:rPr>
        <w:t xml:space="preserve">Calibration — </w:t>
      </w:r>
      <w:r>
        <w:t>соответствие заявленной вероятности реальной частоте попаданий.</w:t>
      </w:r>
      <w:r>
        <w:rPr>
          <w:i/>
          <w:color w:val="464646"/>
        </w:rPr>
        <w:t xml:space="preserve"> Пример: если 90%-й интервал покрывает только 65% фактов, модель плохо откалибрована.</w:t>
      </w:r>
    </w:p>
    <w:p>
      <w:pPr>
        <w:keepLines/>
        <w:spacing w:after="120"/>
      </w:pPr>
      <w:r>
        <w:rPr>
          <w:b/>
        </w:rPr>
        <w:t xml:space="preserve">Coverage — </w:t>
      </w:r>
      <w:r>
        <w:t>доля фактических значений, попавших внутрь интервала.</w:t>
      </w:r>
      <w:r>
        <w:rPr>
          <w:i/>
          <w:color w:val="464646"/>
        </w:rPr>
        <w:t xml:space="preserve"> Пример: из 100 прогнозов 88 попали в 90%-й интервал — coverage 88%.</w:t>
      </w:r>
    </w:p>
    <w:p>
      <w:pPr>
        <w:keepLines/>
        <w:spacing w:after="120"/>
      </w:pPr>
      <w:r>
        <w:rPr>
          <w:b/>
        </w:rPr>
        <w:t xml:space="preserve">Interval width — </w:t>
      </w:r>
      <w:r>
        <w:t>средняя ширина прогнозного диапазона.</w:t>
      </w:r>
      <w:r>
        <w:rPr>
          <w:i/>
          <w:color w:val="464646"/>
        </w:rPr>
        <w:t xml:space="preserve"> Пример: интервал 0–1000 легко покрывает факт, но почти бесполезен для решения.</w:t>
      </w:r>
    </w:p>
    <w:p>
      <w:pPr>
        <w:keepLines/>
        <w:spacing w:after="120"/>
      </w:pPr>
      <w:r>
        <w:rPr>
          <w:b/>
        </w:rPr>
        <w:t xml:space="preserve">Sharpness — </w:t>
      </w:r>
      <w:r>
        <w:t>насколько узко и уверенно распределение при сохранении нужной калибровки.</w:t>
      </w:r>
      <w:r>
        <w:rPr>
          <w:i/>
          <w:color w:val="464646"/>
        </w:rPr>
        <w:t xml:space="preserve"> Пример: из двух честных 90%-х интервалов лучше более узкий.</w:t>
      </w:r>
    </w:p>
    <w:p>
      <w:pPr>
        <w:keepLines/>
        <w:spacing w:after="120"/>
      </w:pPr>
      <w:r>
        <w:rPr>
          <w:b/>
        </w:rPr>
        <w:t xml:space="preserve">Interval score или Winkler score — </w:t>
      </w:r>
      <w:r>
        <w:t>единая оценка, которая штрафует и слишком широкий интервал, и непопадание факта внутрь.</w:t>
      </w:r>
      <w:r>
        <w:rPr>
          <w:i/>
          <w:color w:val="464646"/>
        </w:rPr>
        <w:t xml:space="preserve"> Пример: нельзя улучшить оценку, просто сделав диапазон огромным.</w:t>
      </w:r>
    </w:p>
    <w:p>
      <w:pPr>
        <w:keepLines/>
        <w:spacing w:after="120"/>
      </w:pPr>
      <w:r>
        <w:rPr>
          <w:b/>
        </w:rPr>
        <w:t xml:space="preserve">WIS — </w:t>
      </w:r>
      <w:r>
        <w:t>сводная оценка нескольких интервалов и квантилей. Чем меньше, тем лучше.</w:t>
      </w:r>
      <w:r>
        <w:rPr>
          <w:i/>
          <w:color w:val="464646"/>
        </w:rPr>
        <w:t xml:space="preserve"> Пример: одновременно оцениваются медиана и интервалы 50%, 80% и 90%.</w:t>
      </w:r>
    </w:p>
    <w:p>
      <w:pPr>
        <w:keepLines/>
        <w:spacing w:after="120"/>
      </w:pPr>
      <w:r>
        <w:rPr>
          <w:b/>
        </w:rPr>
        <w:t xml:space="preserve">CRPS — </w:t>
      </w:r>
      <w:r>
        <w:t>оценка качества всего вероятностного распределения: учитывает и точность, и уверенность. Чем меньше, тем лучше.</w:t>
      </w:r>
      <w:r>
        <w:rPr>
          <w:i/>
          <w:color w:val="464646"/>
        </w:rPr>
        <w:t xml:space="preserve"> Пример: вероятностный аналог ошибки прогноза.</w:t>
      </w:r>
    </w:p>
    <w:p>
      <w:pPr>
        <w:keepLines/>
        <w:spacing w:after="120"/>
      </w:pPr>
      <w:r>
        <w:rPr>
          <w:b/>
        </w:rPr>
        <w:t xml:space="preserve">PIT или rank histogram — </w:t>
      </w:r>
      <w:r>
        <w:t>диаграмма, показывающая, где фактические значения оказываются внутри прогнозного распределения.</w:t>
      </w:r>
      <w:r>
        <w:rPr>
          <w:i/>
          <w:color w:val="464646"/>
        </w:rPr>
        <w:t xml:space="preserve"> Пример: U-образная форма часто означает слишком узкие интервалы.</w:t>
      </w:r>
    </w:p>
    <w:p>
      <w:pPr>
        <w:keepLines/>
        <w:spacing w:after="120"/>
      </w:pPr>
      <w:r>
        <w:rPr>
          <w:b/>
        </w:rPr>
        <w:t xml:space="preserve">Quantile crossing — </w:t>
      </w:r>
      <w:r>
        <w:t>ошибка, при которой нижний квантиль оказывается выше верхнего.</w:t>
      </w:r>
      <w:r>
        <w:rPr>
          <w:i/>
          <w:color w:val="464646"/>
        </w:rPr>
        <w:t xml:space="preserve"> Пример: p10 = 130, а p90 = 120 — логически невозможно.</w:t>
      </w:r>
    </w:p>
    <w:p>
      <w:pPr>
        <w:pStyle w:val="Heading2"/>
      </w:pPr>
      <w:r>
        <w:t>Conformal prediction простыми словами</w:t>
      </w:r>
    </w:p>
    <w:p>
      <w:pPr>
        <w:keepLines/>
        <w:spacing w:after="120"/>
      </w:pPr>
      <w:r>
        <w:rPr>
          <w:b/>
        </w:rPr>
        <w:t xml:space="preserve">Conformal prediction — </w:t>
      </w:r>
      <w:r>
        <w:t>надстройка, которая изучает недавние ошибки модели и расширяет или сужает интервалы до нужной частоты покрытия.</w:t>
      </w:r>
      <w:r>
        <w:rPr>
          <w:i/>
          <w:color w:val="464646"/>
        </w:rPr>
        <w:t xml:space="preserve"> Пример: если модель регулярно недооценивает разброс, диапазон автоматически расширяется.</w:t>
      </w:r>
    </w:p>
    <w:p>
      <w:pPr>
        <w:keepLines/>
        <w:spacing w:after="120"/>
      </w:pPr>
      <w:r>
        <w:rPr>
          <w:b/>
        </w:rPr>
        <w:t xml:space="preserve">Calibration window — </w:t>
      </w:r>
      <w:r>
        <w:t>недавний период ошибок, используемый для настройки интервалов.</w:t>
      </w:r>
      <w:r>
        <w:rPr>
          <w:i/>
          <w:color w:val="464646"/>
        </w:rPr>
        <w:t xml:space="preserve"> Пример: последние восемь недель перед текущим прогнозом.</w:t>
      </w:r>
    </w:p>
    <w:p>
      <w:pPr>
        <w:keepLines/>
        <w:spacing w:after="120"/>
      </w:pPr>
      <w:r>
        <w:rPr>
          <w:b/>
        </w:rPr>
        <w:t xml:space="preserve">Split conformal — </w:t>
      </w:r>
      <w:r>
        <w:t>часть данных отдельно оставляют для калибровки интервалов после обучения основной модели.</w:t>
      </w:r>
      <w:r>
        <w:rPr>
          <w:i/>
          <w:color w:val="464646"/>
        </w:rPr>
        <w:t xml:space="preserve"> Пример: модель учится на одном периоде, а ширина диапазона настраивается на другом.</w:t>
      </w:r>
    </w:p>
    <w:p>
      <w:pPr>
        <w:keepLines/>
        <w:spacing w:after="120"/>
      </w:pPr>
      <w:r>
        <w:rPr>
          <w:b/>
        </w:rPr>
        <w:t xml:space="preserve">CQR — </w:t>
      </w:r>
      <w:r>
        <w:t>conformal calibration поверх квантильной модели. Сохраняет разную ширину интервала для спокойных и нестабильных случаев.</w:t>
      </w:r>
      <w:r>
        <w:rPr>
          <w:i/>
          <w:color w:val="464646"/>
        </w:rPr>
        <w:t xml:space="preserve"> Пример: обычный день получает узкий диапазон, праздник — широкий.</w:t>
      </w:r>
    </w:p>
    <w:p>
      <w:pPr>
        <w:keepLines/>
        <w:spacing w:after="120"/>
      </w:pPr>
      <w:r>
        <w:rPr>
          <w:b/>
        </w:rPr>
        <w:t xml:space="preserve">EnbPI — </w:t>
      </w:r>
      <w:r>
        <w:t>метод интервалов для зависимых во времени данных, использующий ансамбль и последовательное обновление ошибок.</w:t>
      </w:r>
      <w:r>
        <w:rPr>
          <w:i/>
          <w:color w:val="464646"/>
        </w:rPr>
        <w:t xml:space="preserve"> Пример: интервалы корректируются по свежим промахам продаж.</w:t>
      </w:r>
    </w:p>
    <w:p>
      <w:pPr>
        <w:keepLines/>
        <w:spacing w:after="120"/>
      </w:pPr>
      <w:r>
        <w:rPr>
          <w:b/>
        </w:rPr>
        <w:t xml:space="preserve">ACI — </w:t>
      </w:r>
      <w:r>
        <w:t>адаптивный conformal-метод, который постепенно меняет уровень калибровки при сдвиге режима.</w:t>
      </w:r>
      <w:r>
        <w:rPr>
          <w:i/>
          <w:color w:val="464646"/>
        </w:rPr>
        <w:t xml:space="preserve"> Пример: после резкого изменения спроса система быстрее возвращает coverage к цели.</w:t>
      </w:r>
    </w:p>
    <w:p>
      <w:pPr>
        <w:keepLines/>
        <w:spacing w:after="120"/>
      </w:pPr>
      <w:r>
        <w:rPr>
          <w:b/>
        </w:rPr>
        <w:t xml:space="preserve">Mondrian или grouped conformal — </w:t>
      </w:r>
      <w:r>
        <w:t>отдельная калибровка для разных групп, если у них разное поведение.</w:t>
      </w:r>
      <w:r>
        <w:rPr>
          <w:i/>
          <w:color w:val="464646"/>
        </w:rPr>
        <w:t xml:space="preserve"> Пример: разные интервалы для больших и маленьких магазинов.</w:t>
      </w:r>
    </w:p>
    <w:p>
      <w:pPr>
        <w:pStyle w:val="Heading2"/>
      </w:pPr>
      <w:r>
        <w:t>Статистическое сравнение моделей</w:t>
      </w:r>
    </w:p>
    <w:p>
      <w:pPr>
        <w:keepLines/>
        <w:spacing w:after="120"/>
      </w:pPr>
      <w:r>
        <w:rPr>
          <w:b/>
        </w:rPr>
        <w:t xml:space="preserve">Paired comparison — </w:t>
      </w:r>
      <w:r>
        <w:t>две модели сравниваются на одних и тех же сериях, датах и горизонтах.</w:t>
      </w:r>
      <w:r>
        <w:rPr>
          <w:i/>
          <w:color w:val="464646"/>
        </w:rPr>
        <w:t xml:space="preserve"> Пример: ошибки Chronos и GBM сопоставляются для каждого одинакового прогноза.</w:t>
      </w:r>
    </w:p>
    <w:p>
      <w:pPr>
        <w:keepLines/>
        <w:spacing w:after="120"/>
      </w:pPr>
      <w:r>
        <w:rPr>
          <w:b/>
        </w:rPr>
        <w:t xml:space="preserve">Loss differential — </w:t>
      </w:r>
      <w:r>
        <w:t>разница ошибок двух моделей для каждого наблюдения.</w:t>
      </w:r>
      <w:r>
        <w:rPr>
          <w:i/>
          <w:color w:val="464646"/>
        </w:rPr>
        <w:t xml:space="preserve"> Пример: положительное значение показывает, насколько baseline оказался хуже кандидата.</w:t>
      </w:r>
    </w:p>
    <w:p>
      <w:pPr>
        <w:keepLines/>
        <w:spacing w:after="120"/>
      </w:pPr>
      <w:r>
        <w:rPr>
          <w:b/>
        </w:rPr>
        <w:t xml:space="preserve">Bootstrap — </w:t>
      </w:r>
      <w:r>
        <w:t>многократная пересборка выборки из имеющихся ошибок, чтобы оценить устойчивость результата.</w:t>
      </w:r>
      <w:r>
        <w:rPr>
          <w:i/>
          <w:color w:val="464646"/>
        </w:rPr>
        <w:t xml:space="preserve"> Пример: получаем тысячи возможных средних улучшений.</w:t>
      </w:r>
    </w:p>
    <w:p>
      <w:pPr>
        <w:keepLines/>
        <w:spacing w:after="120"/>
      </w:pPr>
      <w:r>
        <w:rPr>
          <w:b/>
        </w:rPr>
        <w:t xml:space="preserve">Block bootstrap — </w:t>
      </w:r>
      <w:r>
        <w:t>bootstrap, который берёт соседние периоды блоками и поэтому сохраняет временную зависимость.</w:t>
      </w:r>
      <w:r>
        <w:rPr>
          <w:i/>
          <w:color w:val="464646"/>
        </w:rPr>
        <w:t xml:space="preserve"> Пример: несколько последовательных недель переносятся вместе.</w:t>
      </w:r>
    </w:p>
    <w:p>
      <w:pPr>
        <w:keepLines/>
        <w:spacing w:after="120"/>
      </w:pPr>
      <w:r>
        <w:rPr>
          <w:b/>
        </w:rPr>
        <w:t xml:space="preserve">95%-й доверительный интервал улучшения — </w:t>
      </w:r>
      <w:r>
        <w:t>диапазон правдоподобных значений реального эффекта.</w:t>
      </w:r>
      <w:r>
        <w:rPr>
          <w:i/>
          <w:color w:val="464646"/>
        </w:rPr>
        <w:t xml:space="preserve"> Пример: улучшение 5% с интервалом от 1% до 9% убедительнее, чем 5% с интервалом от −8% до 18%.</w:t>
      </w:r>
    </w:p>
    <w:p>
      <w:pPr>
        <w:keepLines/>
        <w:spacing w:after="120"/>
      </w:pPr>
      <w:r>
        <w:rPr>
          <w:b/>
        </w:rPr>
        <w:t xml:space="preserve">p-value — </w:t>
      </w:r>
      <w:r>
        <w:t>насколько необычен наблюдаемый результат при предположении, что реального различия нет. Это не вероятность того, что модель лучше.</w:t>
      </w:r>
      <w:r>
        <w:rPr>
          <w:i/>
          <w:color w:val="464646"/>
        </w:rPr>
        <w:t xml:space="preserve"> Пример: малое p-value — аргумент против равенства, но не мера размера выгоды.</w:t>
      </w:r>
    </w:p>
    <w:p>
      <w:pPr>
        <w:keepLines/>
        <w:spacing w:after="120"/>
      </w:pPr>
      <w:r>
        <w:rPr>
          <w:b/>
        </w:rPr>
        <w:t xml:space="preserve">Diebold–Mariano test — </w:t>
      </w:r>
      <w:r>
        <w:t>тест того, отличаются ли средние прогнозные ошибки двух методов с учётом их последовательности во времени.</w:t>
      </w:r>
      <w:r>
        <w:rPr>
          <w:i/>
          <w:color w:val="464646"/>
        </w:rPr>
        <w:t xml:space="preserve"> Пример: сравнение заранее выбранного кандидата с baseline.</w:t>
      </w:r>
    </w:p>
    <w:p>
      <w:pPr>
        <w:keepLines/>
        <w:spacing w:after="120"/>
      </w:pPr>
      <w:r>
        <w:rPr>
          <w:b/>
        </w:rPr>
        <w:t xml:space="preserve">HAC variance — </w:t>
      </w:r>
      <w:r>
        <w:t>способ корректно оценить неопределённость, когда соседние ошибки связаны друг с другом.</w:t>
      </w:r>
      <w:r>
        <w:rPr>
          <w:i/>
          <w:color w:val="464646"/>
        </w:rPr>
        <w:t xml:space="preserve"> Пример: ошибки прогнозов на перекрывающиеся 28-дневные горизонты не считаются независимыми.</w:t>
      </w:r>
    </w:p>
    <w:p>
      <w:pPr>
        <w:keepLines/>
        <w:spacing w:after="120"/>
      </w:pPr>
      <w:r>
        <w:rPr>
          <w:b/>
        </w:rPr>
        <w:t xml:space="preserve">Model Confidence Set или MCS — </w:t>
      </w:r>
      <w:r>
        <w:t>набор моделей, которые по имеющимся данным нельзя уверенно отличить от лучшей.</w:t>
      </w:r>
      <w:r>
        <w:rPr>
          <w:i/>
          <w:color w:val="464646"/>
        </w:rPr>
        <w:t xml:space="preserve"> Пример: вместо ложного единственного чемпиона остаются три статистически сильных кандидата.</w:t>
      </w:r>
    </w:p>
    <w:p>
      <w:pPr>
        <w:keepLines/>
        <w:spacing w:after="120"/>
      </w:pPr>
      <w:r>
        <w:rPr>
          <w:b/>
        </w:rPr>
        <w:t xml:space="preserve">Практическая значимость — </w:t>
      </w:r>
      <w:r>
        <w:t>достаточно ли улучшение велико, чтобы оправдать стоимость и сложность, даже если оно статистически заметно.</w:t>
      </w:r>
      <w:r>
        <w:rPr>
          <w:i/>
          <w:color w:val="464646"/>
        </w:rPr>
        <w:t xml:space="preserve"> Пример: выигрыш 0,1% не окупает десятикратное увеличение задержки.</w:t>
      </w:r>
    </w:p>
    <w:p>
      <w:pPr>
        <w:pStyle w:val="Heading2"/>
      </w:pPr>
      <w:r>
        <w:t>Autoresearch и производственный процесс</w:t>
      </w:r>
    </w:p>
    <w:p>
      <w:pPr>
        <w:keepLines/>
        <w:spacing w:after="120"/>
      </w:pPr>
      <w:r>
        <w:rPr>
          <w:b/>
        </w:rPr>
        <w:t xml:space="preserve">Autoresearch — </w:t>
      </w:r>
      <w:r>
        <w:t>цикл, в котором AI-агент предлагает гипотезу, меняет разрешённый код, запускает эксперимент и сохраняет только полезные изменения.</w:t>
      </w:r>
      <w:r>
        <w:rPr>
          <w:i/>
          <w:color w:val="464646"/>
        </w:rPr>
        <w:t xml:space="preserve"> Пример: агент перебирает признаки и модели прогнозирования продаж.</w:t>
      </w:r>
    </w:p>
    <w:p>
      <w:pPr>
        <w:keepLines/>
        <w:spacing w:after="120"/>
      </w:pPr>
      <w:r>
        <w:rPr>
          <w:b/>
        </w:rPr>
        <w:t xml:space="preserve">AI-агент — </w:t>
      </w:r>
      <w:r>
        <w:t>программа на основе языковой модели, которая может планировать действия и пользоваться инструментами.</w:t>
      </w:r>
      <w:r>
        <w:rPr>
          <w:i/>
          <w:color w:val="464646"/>
        </w:rPr>
        <w:t xml:space="preserve"> Пример: Codex или Claude редактирует код и запускает backtest.</w:t>
      </w:r>
    </w:p>
    <w:p>
      <w:pPr>
        <w:keepLines/>
        <w:spacing w:after="120"/>
      </w:pPr>
      <w:r>
        <w:rPr>
          <w:b/>
        </w:rPr>
        <w:t xml:space="preserve">Harness — </w:t>
      </w:r>
      <w:r>
        <w:t>контролируемая оболочка, задающая, какие файлы и команды доступны агенту.</w:t>
      </w:r>
      <w:r>
        <w:rPr>
          <w:i/>
          <w:color w:val="464646"/>
        </w:rPr>
        <w:t xml:space="preserve"> Пример: агент может менять model.py, но не scorer.py.</w:t>
      </w:r>
    </w:p>
    <w:p>
      <w:pPr>
        <w:keepLines/>
        <w:spacing w:after="120"/>
      </w:pPr>
      <w:r>
        <w:rPr>
          <w:b/>
        </w:rPr>
        <w:t xml:space="preserve">Evaluator или scorekeeper — </w:t>
      </w:r>
      <w:r>
        <w:t>независимый компонент, который измеряет качество по фиксированным правилам.</w:t>
      </w:r>
      <w:r>
        <w:rPr>
          <w:i/>
          <w:color w:val="464646"/>
        </w:rPr>
        <w:t xml:space="preserve"> Пример: он рассчитывает MASE, WIS, время и память.</w:t>
      </w:r>
    </w:p>
    <w:p>
      <w:pPr>
        <w:keepLines/>
        <w:spacing w:after="120"/>
      </w:pPr>
      <w:r>
        <w:rPr>
          <w:b/>
        </w:rPr>
        <w:t xml:space="preserve">Immutable files — </w:t>
      </w:r>
      <w:r>
        <w:t>файлы, которые агенту запрещено изменять.</w:t>
      </w:r>
      <w:r>
        <w:rPr>
          <w:i/>
          <w:color w:val="464646"/>
        </w:rPr>
        <w:t xml:space="preserve"> Пример: разбиение данных, holdout и код итоговой метрики.</w:t>
      </w:r>
    </w:p>
    <w:p>
      <w:pPr>
        <w:keepLines/>
        <w:spacing w:after="120"/>
      </w:pPr>
      <w:r>
        <w:rPr>
          <w:b/>
        </w:rPr>
        <w:t xml:space="preserve">Hypothesis card — </w:t>
      </w:r>
      <w:r>
        <w:t>короткая запись перед экспериментом: что меняется, почему это должно помочь и какой риск ожидается.</w:t>
      </w:r>
      <w:r>
        <w:rPr>
          <w:i/>
          <w:color w:val="464646"/>
        </w:rPr>
        <w:t xml:space="preserve"> Пример: добавить температуру, потому что жара увеличивает спрос.</w:t>
      </w:r>
    </w:p>
    <w:p>
      <w:pPr>
        <w:keepLines/>
        <w:spacing w:after="120"/>
      </w:pPr>
      <w:r>
        <w:rPr>
          <w:b/>
        </w:rPr>
        <w:t xml:space="preserve">Keep или discard — </w:t>
      </w:r>
      <w:r>
        <w:t>решение сохранить изменение либо отклонить его после теста.</w:t>
      </w:r>
      <w:r>
        <w:rPr>
          <w:i/>
          <w:color w:val="464646"/>
        </w:rPr>
        <w:t xml:space="preserve"> Пример: новый признак остаётся только при устойчивом улучшении.</w:t>
      </w:r>
    </w:p>
    <w:p>
      <w:pPr>
        <w:keepLines/>
        <w:spacing w:after="120"/>
      </w:pPr>
      <w:r>
        <w:rPr>
          <w:b/>
        </w:rPr>
        <w:t xml:space="preserve">Successive halving — </w:t>
      </w:r>
      <w:r>
        <w:t>сначала много идей проверяются дёшево, затем больше ресурсов получают только лучшие.</w:t>
      </w:r>
      <w:r>
        <w:rPr>
          <w:i/>
          <w:color w:val="464646"/>
        </w:rPr>
        <w:t xml:space="preserve"> Пример: 100 конфигураций тестируются на малой выборке, 10 лучших — на полной.</w:t>
      </w:r>
    </w:p>
    <w:p>
      <w:pPr>
        <w:keepLines/>
        <w:spacing w:after="120"/>
      </w:pPr>
      <w:r>
        <w:rPr>
          <w:b/>
        </w:rPr>
        <w:t xml:space="preserve">Sandbox — </w:t>
      </w:r>
      <w:r>
        <w:t>изолированная среда, где ошибочный или опасный код не затронет рабочую систему.</w:t>
      </w:r>
      <w:r>
        <w:rPr>
          <w:i/>
          <w:color w:val="464646"/>
        </w:rPr>
        <w:t xml:space="preserve"> Пример: агент не имеет доступа к production и секретам.</w:t>
      </w:r>
    </w:p>
    <w:p>
      <w:pPr>
        <w:keepLines/>
        <w:spacing w:after="120"/>
      </w:pPr>
      <w:r>
        <w:rPr>
          <w:b/>
        </w:rPr>
        <w:t xml:space="preserve">Human gate — </w:t>
      </w:r>
      <w:r>
        <w:t>этап, на котором человек подтверждает важное действие.</w:t>
      </w:r>
      <w:r>
        <w:rPr>
          <w:i/>
          <w:color w:val="464646"/>
        </w:rPr>
        <w:t xml:space="preserve"> Пример: развёртывание новой модели разрешает ответственный специалист.</w:t>
      </w:r>
    </w:p>
    <w:p>
      <w:pPr>
        <w:keepLines/>
        <w:spacing w:after="120"/>
      </w:pPr>
      <w:r>
        <w:rPr>
          <w:b/>
        </w:rPr>
        <w:t xml:space="preserve">Model registry — </w:t>
      </w:r>
      <w:r>
        <w:t>каталог версий моделей, метрик, лицензий и артефактов.</w:t>
      </w:r>
      <w:r>
        <w:rPr>
          <w:i/>
          <w:color w:val="464646"/>
        </w:rPr>
        <w:t xml:space="preserve"> Пример: можно узнать, какая версия работала месяц назад и вернуть её.</w:t>
      </w:r>
    </w:p>
    <w:p>
      <w:pPr>
        <w:keepLines/>
        <w:spacing w:after="120"/>
      </w:pPr>
      <w:r>
        <w:rPr>
          <w:b/>
        </w:rPr>
        <w:t xml:space="preserve">Promotion — </w:t>
      </w:r>
      <w:r>
        <w:t>перевод успешно проверенной модели на следующий этап использования.</w:t>
      </w:r>
      <w:r>
        <w:rPr>
          <w:i/>
          <w:color w:val="464646"/>
        </w:rPr>
        <w:t xml:space="preserve"> Пример: из эксперимента в candidate, затем в production.</w:t>
      </w:r>
    </w:p>
    <w:p>
      <w:pPr>
        <w:keepLines/>
        <w:spacing w:after="120"/>
      </w:pPr>
      <w:r>
        <w:rPr>
          <w:b/>
        </w:rPr>
        <w:t xml:space="preserve">Champion–challenger — </w:t>
      </w:r>
      <w:r>
        <w:t>рабочая модель остаётся champion, а новая challenger сравнивается с ней на свежих данных.</w:t>
      </w:r>
      <w:r>
        <w:rPr>
          <w:i/>
          <w:color w:val="464646"/>
        </w:rPr>
        <w:t xml:space="preserve"> Пример: новая TSFM не заменяет текущую систему до доказательства преимущества.</w:t>
      </w:r>
    </w:p>
    <w:p>
      <w:pPr>
        <w:keepLines/>
        <w:spacing w:after="120"/>
      </w:pPr>
      <w:r>
        <w:rPr>
          <w:b/>
        </w:rPr>
        <w:t xml:space="preserve">Shadow deployment — </w:t>
      </w:r>
      <w:r>
        <w:t>новая модель получает реальные данные и строит прогнозы, но её ответы пока не влияют на бизнес.</w:t>
      </w:r>
      <w:r>
        <w:rPr>
          <w:i/>
          <w:color w:val="464646"/>
        </w:rPr>
        <w:t xml:space="preserve"> Пример: можно безопасно измерить качество и задержку.</w:t>
      </w:r>
    </w:p>
    <w:p>
      <w:pPr>
        <w:pStyle w:val="Heading2"/>
      </w:pPr>
      <w:r>
        <w:t>Технические и лицензионные термины</w:t>
      </w:r>
    </w:p>
    <w:p>
      <w:pPr>
        <w:keepLines/>
        <w:spacing w:after="120"/>
      </w:pPr>
      <w:r>
        <w:rPr>
          <w:b/>
        </w:rPr>
        <w:t xml:space="preserve">CPU — </w:t>
      </w:r>
      <w:r>
        <w:t>обычный центральный процессор компьютера. Дешевле и доступнее, но крупные нейросети на нём часто работают медленно.</w:t>
      </w:r>
    </w:p>
    <w:p>
      <w:pPr>
        <w:keepLines/>
        <w:spacing w:after="120"/>
      </w:pPr>
      <w:r>
        <w:rPr>
          <w:b/>
        </w:rPr>
        <w:t xml:space="preserve">GPU — </w:t>
      </w:r>
      <w:r>
        <w:t>процессор для массовых параллельных вычислений, ускоряющий обучение и работу нейросетей.</w:t>
      </w:r>
    </w:p>
    <w:p>
      <w:pPr>
        <w:keepLines/>
        <w:spacing w:after="120"/>
      </w:pPr>
      <w:r>
        <w:rPr>
          <w:b/>
        </w:rPr>
        <w:t xml:space="preserve">RAM и VRAM — </w:t>
      </w:r>
      <w:r>
        <w:t>оперативная память компьютера и память видеокарты.</w:t>
      </w:r>
      <w:r>
        <w:rPr>
          <w:i/>
          <w:color w:val="464646"/>
        </w:rPr>
        <w:t xml:space="preserve"> Пример: слишком крупная модель может не поместиться в VRAM.</w:t>
      </w:r>
    </w:p>
    <w:p>
      <w:pPr>
        <w:keepLines/>
        <w:spacing w:after="120"/>
      </w:pPr>
      <w:r>
        <w:rPr>
          <w:b/>
        </w:rPr>
        <w:t xml:space="preserve">Latency — </w:t>
      </w:r>
      <w:r>
        <w:t>время ожидания одного ответа модели.</w:t>
      </w:r>
      <w:r>
        <w:rPr>
          <w:i/>
          <w:color w:val="464646"/>
        </w:rPr>
        <w:t xml:space="preserve"> Пример: прогноз должен быть готов за секунду или за минуту.</w:t>
      </w:r>
    </w:p>
    <w:p>
      <w:pPr>
        <w:keepLines/>
        <w:spacing w:after="120"/>
      </w:pPr>
      <w:r>
        <w:rPr>
          <w:b/>
        </w:rPr>
        <w:t xml:space="preserve">Throughput — </w:t>
      </w:r>
      <w:r>
        <w:t>сколько прогнозов система обрабатывает за единицу времени.</w:t>
      </w:r>
      <w:r>
        <w:rPr>
          <w:i/>
          <w:color w:val="464646"/>
        </w:rPr>
        <w:t xml:space="preserve"> Пример: миллион рядов за час.</w:t>
      </w:r>
    </w:p>
    <w:p>
      <w:pPr>
        <w:keepLines/>
        <w:spacing w:after="120"/>
      </w:pPr>
      <w:r>
        <w:rPr>
          <w:b/>
        </w:rPr>
        <w:t xml:space="preserve">Open source — </w:t>
      </w:r>
      <w:r>
        <w:t>исходный код доступен для изучения и изменения по условиям лицензии. Это не всегда означает, что любые веса можно использовать коммерчески.</w:t>
      </w:r>
    </w:p>
    <w:p>
      <w:pPr>
        <w:keepLines/>
        <w:spacing w:after="120"/>
      </w:pPr>
      <w:r>
        <w:rPr>
          <w:b/>
        </w:rPr>
        <w:t xml:space="preserve">Open weights — </w:t>
      </w:r>
      <w:r>
        <w:t>опубликованы обученные параметры модели, но лицензия на них может отличаться от лицензии исходного кода.</w:t>
      </w:r>
    </w:p>
    <w:p>
      <w:pPr>
        <w:keepLines/>
        <w:spacing w:after="120"/>
      </w:pPr>
      <w:r>
        <w:rPr>
          <w:b/>
        </w:rPr>
        <w:t xml:space="preserve">Apache 2.0 и MIT — </w:t>
      </w:r>
      <w:r>
        <w:t>разрешительные лицензии: обычно допускают коммерческое использование при выполнении условий уведомления и сохранения лицензии.</w:t>
      </w:r>
    </w:p>
    <w:p>
      <w:pPr>
        <w:keepLines/>
        <w:spacing w:after="120"/>
      </w:pPr>
      <w:r>
        <w:rPr>
          <w:b/>
        </w:rPr>
        <w:t xml:space="preserve">GPL — </w:t>
      </w:r>
      <w:r>
        <w:t>лицензия с более сильными требованиями к распространению производных программ. Конкретное использование должен оценить юрист.</w:t>
      </w:r>
    </w:p>
    <w:p>
      <w:pPr>
        <w:keepLines/>
        <w:spacing w:after="120"/>
      </w:pPr>
      <w:r>
        <w:rPr>
          <w:b/>
        </w:rPr>
        <w:t xml:space="preserve">Restricted или non-commercial license — </w:t>
      </w:r>
      <w:r>
        <w:t>лицензия ограничивает коммерческое или производственное использование, даже если файлы модели доступны для скачивания.</w:t>
      </w:r>
    </w:p>
    <w:p>
      <w:pPr>
        <w:keepLines/>
        <w:spacing w:after="120"/>
      </w:pPr>
      <w:r>
        <w:rPr>
          <w:b/>
        </w:rPr>
        <w:t xml:space="preserve">Reproducibility — </w:t>
      </w:r>
      <w:r>
        <w:t>возможность повторить эксперимент и получить сопоставимый результат.</w:t>
      </w:r>
      <w:r>
        <w:rPr>
          <w:i/>
          <w:color w:val="464646"/>
        </w:rPr>
        <w:t xml:space="preserve"> Пример: фиксируются данные, версия кода, окружение, параметры и seed.</w:t>
      </w:r>
    </w:p>
    <w:p>
      <w:pPr>
        <w:keepLines/>
        <w:spacing w:after="120"/>
      </w:pPr>
      <w:r>
        <w:rPr>
          <w:b/>
        </w:rPr>
        <w:t xml:space="preserve">Data drift — </w:t>
      </w:r>
      <w:r>
        <w:t>изменение свойств входных данных со временем.</w:t>
      </w:r>
      <w:r>
        <w:rPr>
          <w:i/>
          <w:color w:val="464646"/>
        </w:rPr>
        <w:t xml:space="preserve"> Пример: покупатели стали вести себя иначе после открытия конкурента.</w:t>
      </w:r>
    </w:p>
    <w:p>
      <w:pPr>
        <w:keepLines/>
        <w:spacing w:after="120"/>
      </w:pPr>
      <w:r>
        <w:rPr>
          <w:b/>
        </w:rPr>
        <w:t xml:space="preserve">Model degradation — </w:t>
      </w:r>
      <w:r>
        <w:t>ухудшение качества модели после внедрения.</w:t>
      </w:r>
      <w:r>
        <w:rPr>
          <w:i/>
          <w:color w:val="464646"/>
        </w:rPr>
        <w:t xml:space="preserve"> Пример: закономерности, изученные год назад, больше не работают.</w:t>
      </w:r>
    </w:p>
    <w:p>
      <w:pPr>
        <w:keepLines/>
        <w:spacing w:after="120"/>
      </w:pPr>
      <w:r>
        <w:rPr>
          <w:b/>
        </w:rPr>
        <w:t xml:space="preserve">Monitoring — </w:t>
      </w:r>
      <w:r>
        <w:t>постоянное наблюдение за ошибками, coverage, задержкой, данными и сбоями модели.</w:t>
      </w:r>
    </w:p>
    <w:p>
      <w:pPr>
        <w:pStyle w:val="Heading2"/>
      </w:pPr>
      <w:r>
        <w:t>Названия основных моделей из отчёта</w:t>
      </w:r>
    </w:p>
    <w:p>
      <w:pPr>
        <w:keepLines/>
        <w:spacing w:after="120"/>
      </w:pPr>
      <w:r>
        <w:rPr>
          <w:b/>
        </w:rPr>
        <w:t xml:space="preserve">TimesFM — </w:t>
      </w:r>
      <w:r>
        <w:t>семейство foundation-моделей Google для прогнозирования временных рядов. Новые версии поддерживают многомерные данные, ковариаты и квантили; отдельно нужно проверять лицензию конкретных весов.</w:t>
      </w:r>
    </w:p>
    <w:p>
      <w:pPr>
        <w:keepLines/>
        <w:spacing w:after="120"/>
      </w:pPr>
      <w:r>
        <w:rPr>
          <w:b/>
        </w:rPr>
        <w:t xml:space="preserve">Chronos — </w:t>
      </w:r>
      <w:r>
        <w:t>семейство Amazon. Chronos-2 поддерживает одномерные и многомерные ряды, ковариаты и вероятностный прогноз.</w:t>
      </w:r>
    </w:p>
    <w:p>
      <w:pPr>
        <w:keepLines/>
        <w:spacing w:after="120"/>
      </w:pPr>
      <w:r>
        <w:rPr>
          <w:b/>
        </w:rPr>
        <w:t xml:space="preserve">Chronos-Bolt — </w:t>
      </w:r>
      <w:r>
        <w:t>более быстрая и экономная версия подхода Chronos, предназначенная для снижения задержки и потребления памяти.</w:t>
      </w:r>
    </w:p>
    <w:p>
      <w:pPr>
        <w:keepLines/>
        <w:spacing w:after="120"/>
      </w:pPr>
      <w:r>
        <w:rPr>
          <w:b/>
        </w:rPr>
        <w:t xml:space="preserve">Toto — </w:t>
      </w:r>
      <w:r>
        <w:t>семейство Datadog, ориентированное на масштабные и многомерные временные ряды с вероятностным прогнозом.</w:t>
      </w:r>
    </w:p>
    <w:p>
      <w:pPr>
        <w:keepLines/>
        <w:spacing w:after="120"/>
      </w:pPr>
      <w:r>
        <w:rPr>
          <w:b/>
        </w:rPr>
        <w:t xml:space="preserve">Moirai — </w:t>
      </w:r>
      <w:r>
        <w:t>семейство Salesforce для универсального прогнозирования разных временных рядов; распространяется через проект Uni2TS.</w:t>
      </w:r>
    </w:p>
    <w:p>
      <w:pPr>
        <w:keepLines/>
        <w:spacing w:after="120"/>
      </w:pPr>
      <w:r>
        <w:rPr>
          <w:b/>
        </w:rPr>
        <w:t xml:space="preserve">TTM или Tiny Time Mixers — </w:t>
      </w:r>
      <w:r>
        <w:t>очень компактные модели IBM, которые можно запускать на более скромном оборудовании и дообучать на конкретном домене.</w:t>
      </w:r>
    </w:p>
    <w:p>
      <w:pPr>
        <w:keepLines/>
        <w:spacing w:after="120"/>
      </w:pPr>
      <w:r>
        <w:rPr>
          <w:b/>
        </w:rPr>
        <w:t xml:space="preserve">TSMixer — </w:t>
      </w:r>
      <w:r>
        <w:t>относительно простая нейросеть без обязательного Transformer-attention, смешивающая информацию по времени и признакам.</w:t>
      </w:r>
    </w:p>
    <w:p>
      <w:pPr>
        <w:keepLines/>
        <w:spacing w:after="120"/>
      </w:pPr>
      <w:r>
        <w:rPr>
          <w:b/>
        </w:rPr>
        <w:t xml:space="preserve">PatchTST — </w:t>
      </w:r>
      <w:r>
        <w:t>Transformer, который делит ряд на временные блоки и обрабатывает их как patches.</w:t>
      </w:r>
    </w:p>
    <w:p>
      <w:pPr>
        <w:keepLines/>
        <w:spacing w:after="120"/>
      </w:pPr>
      <w:r>
        <w:rPr>
          <w:b/>
        </w:rPr>
        <w:t xml:space="preserve">TFT — </w:t>
      </w:r>
      <w:r>
        <w:t>Temporal Fusion Transformer — модель, созданная для сочетания истории, статических признаков и известных будущих факторов.</w:t>
      </w:r>
    </w:p>
    <w:p>
      <w:pPr>
        <w:keepLines/>
        <w:spacing w:after="120"/>
      </w:pPr>
      <w:r>
        <w:rPr>
          <w:b/>
        </w:rPr>
        <w:t xml:space="preserve">N-HiTS — </w:t>
      </w:r>
      <w:r>
        <w:t>нейросетевая модель для точного многошагового прогноза, часто служащая сильным task-specific кандидатом.</w:t>
      </w:r>
    </w:p>
    <w:p>
      <w:pPr>
        <w:keepLines/>
        <w:spacing w:after="120"/>
      </w:pPr>
      <w:r>
        <w:rPr>
          <w:b/>
        </w:rPr>
        <w:t xml:space="preserve">AutoGluon TimeSeries — </w:t>
      </w:r>
      <w:r>
        <w:t>система AutoML, которая запускает несколько моделей, сравнивает их и строит ансамбль.</w:t>
      </w:r>
    </w:p>
    <w:p>
      <w:pPr>
        <w:keepLines/>
        <w:spacing w:after="120"/>
      </w:pPr>
      <w:r>
        <w:rPr>
          <w:b/>
        </w:rPr>
        <w:t xml:space="preserve">MLForecast — </w:t>
      </w:r>
      <w:r>
        <w:t>Python-инструмент для превращения временного ряда в признаки и обучения моделей вроде LightGBM или CatBoost.</w:t>
      </w:r>
    </w:p>
    <w:p>
      <w:pPr>
        <w:keepLines/>
        <w:spacing w:after="120"/>
      </w:pPr>
      <w:r>
        <w:rPr>
          <w:b/>
        </w:rPr>
        <w:t xml:space="preserve">StatsForecast — </w:t>
      </w:r>
      <w:r>
        <w:t>набор быстрых классических статистических моделей для большого числа рядов.</w:t>
      </w:r>
    </w:p>
    <w:p>
      <w:pPr>
        <w:keepLines/>
        <w:spacing w:after="120"/>
      </w:pPr>
      <w:r>
        <w:rPr>
          <w:b/>
        </w:rPr>
        <w:t xml:space="preserve">NeuralForecast — </w:t>
      </w:r>
      <w:r>
        <w:t>набор современных нейросетевых моделей прогнозирования.</w:t>
      </w:r>
    </w:p>
    <w:p>
      <w:pPr>
        <w:keepLines/>
        <w:spacing w:after="120"/>
      </w:pPr>
      <w:r>
        <w:rPr>
          <w:b/>
        </w:rPr>
        <w:t xml:space="preserve">HierarchicalForecast — </w:t>
      </w:r>
      <w:r>
        <w:t>инструмент, который согласует прогнозы разных уровней иерархии.</w:t>
      </w:r>
      <w:r>
        <w:rPr>
          <w:i/>
          <w:color w:val="464646"/>
        </w:rPr>
        <w:t xml:space="preserve"> Пример: сумма прогнозов магазинов должна совпасть с прогнозом региона.</w:t>
      </w:r>
    </w:p>
    <w:p>
      <w:pPr>
        <w:keepLines/>
        <w:spacing w:after="120"/>
      </w:pPr>
      <w:r>
        <w:rPr>
          <w:b/>
        </w:rPr>
        <w:t xml:space="preserve">sktime и Darts — </w:t>
      </w:r>
      <w:r>
        <w:t>унифицированные Python-библиотеки для построения, сравнения и объединения моделей временных рядов.</w:t>
      </w:r>
    </w:p>
    <w:p>
      <w:pPr>
        <w:keepLines/>
        <w:spacing w:after="120"/>
      </w:pPr>
      <w:r>
        <w:rPr>
          <w:b/>
        </w:rPr>
        <w:t xml:space="preserve">MAPIE — </w:t>
      </w:r>
      <w:r>
        <w:t>Python-библиотека для построения conformal prediction intervals поверх моделей машинного обучения.</w:t>
      </w:r>
    </w:p>
    <w:p>
      <w:pPr>
        <w:keepLines/>
        <w:spacing w:after="120"/>
      </w:pPr>
      <w:r>
        <w:rPr>
          <w:b/>
        </w:rPr>
        <w:t xml:space="preserve">fable, forecast и modeltime — </w:t>
      </w:r>
      <w:r>
        <w:t>основные R-инструменты для статистического прогнозирования, оценки и ансамблей.</w:t>
      </w:r>
    </w:p>
    <w:p>
      <w:pPr>
        <w:pStyle w:val="Heading2"/>
      </w:pPr>
      <w:r>
        <w:t>Как объяснить весь подход за одну минуту</w:t>
      </w:r>
    </w:p>
    <w:p>
      <w:pPr>
        <w:spacing w:after="100"/>
        <w:ind w:left="360" w:hanging="288"/>
      </w:pPr>
      <w:r>
        <w:t>1.  Мы собираем прошлые значения показателя и факторы, которые реально известны в момент прогноза.</w:t>
      </w:r>
    </w:p>
    <w:p>
      <w:pPr>
        <w:spacing w:after="100"/>
        <w:ind w:left="360" w:hanging="288"/>
      </w:pPr>
      <w:r>
        <w:t>2.  Несколько простых и сложных моделей прогнозируют одинаковые будущие периоды, не видя ответов.</w:t>
      </w:r>
    </w:p>
    <w:p>
      <w:pPr>
        <w:spacing w:after="100"/>
        <w:ind w:left="360" w:hanging="288"/>
      </w:pPr>
      <w:r>
        <w:t>3.  Мы сравниваем не только среднюю ошибку, но и устойчивость результата, скорость, стоимость и честность прогнозных диапазонов.</w:t>
      </w:r>
    </w:p>
    <w:p>
      <w:pPr>
        <w:spacing w:after="100"/>
        <w:ind w:left="360" w:hanging="288"/>
      </w:pPr>
      <w:r>
        <w:t>4.  В работу допускается одна модель или ансамбль, который доказал полезное преимущество; затем качество и интервалы постоянно контролируются.</w:t>
      </w:r>
    </w:p>
    <w:sectPr w:rsidR="00FC693F" w:rsidRPr="0006063C" w:rsidSect="00034616">
      <w:footerReference w:type="default" r:id="rId9"/>
      <w:pgSz w:w="12240" w:h="15840"/>
      <w:pgMar w:top="1037"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color w:val="6E6E6E"/>
        <w:sz w:val="16"/>
      </w:rPr>
      <w:fldChar w:fldCharType="begin"/>
      <w:instrText xml:space="preserve"> PAGE </w:instrText>
      <w:fldChar w:fldCharType="end"/>
    </w:r>
  </w:p>
</w:ftr>
</file>

<file path=word/footnotes.xml><?xml version="1.0" encoding="utf-8"?>
<w:footnotes xmlns:w="http://schemas.openxmlformats.org/wordprocessingml/2006/main" xmlns:r="http://schemas.openxmlformats.org/officeDocument/2006/relationships">
  <w:footnote w:id="-1" w:type="separator">
    <w:p>
      <w:r>
        <w:separator/>
      </w:r>
    </w:p>
  </w:footnote>
  <w:footnote w:id="0" w:type="continuationSeparator">
    <w:p>
      <w:r>
        <w:continuationSeparator/>
      </w:r>
    </w:p>
  </w:footnote>
  <w:footnote w:id="1">
    <w:p>
      <w:r>
        <w:footnoteRef/>
      </w:r>
      <w:r>
        <w:t> GIFT-Eval: benchmark and repository. https://github.com/SalesforceAIResearch/gift-eval</w:t>
      </w:r>
    </w:p>
  </w:footnote>
  <w:footnote w:id="2">
    <w:p>
      <w:r>
        <w:footnoteRef/>
      </w:r>
      <w:r>
        <w:t> Google Research: TimesFM 3. https://research.google/blog/timesfm-3-a-zero-shot-foundation-model-for-multivariate-forecasting/</w:t>
      </w:r>
    </w:p>
  </w:footnote>
  <w:footnote w:id="3">
    <w:p>
      <w:r>
        <w:footnoteRef/>
      </w:r>
      <w:r>
        <w:t> TimesFM repository and licensing. https://github.com/google-research/timesfm</w:t>
      </w:r>
    </w:p>
  </w:footnote>
  <w:footnote w:id="4">
    <w:p>
      <w:r>
        <w:footnoteRef/>
      </w:r>
      <w:r>
        <w:t> Chronos-2 paper. https://arxiv.org/abs/2510.15821</w:t>
      </w:r>
    </w:p>
  </w:footnote>
  <w:footnote w:id="5">
    <w:p>
      <w:r>
        <w:footnoteRef/>
      </w:r>
      <w:r>
        <w:t> Amazon Chronos repository. https://github.com/amazon-science/chronos-forecasting</w:t>
      </w:r>
    </w:p>
  </w:footnote>
  <w:footnote w:id="6">
    <w:p>
      <w:r>
        <w:footnoteRef/>
      </w:r>
      <w:r>
        <w:t> Datadog: Toto 2.0 release. https://www.datadoghq.com/blog/ai/toto-2/</w:t>
      </w:r>
    </w:p>
  </w:footnote>
  <w:footnote w:id="7">
    <w:p>
      <w:r>
        <w:footnoteRef/>
      </w:r>
      <w:r>
        <w:t> Toto 2.0 paper. https://arxiv.org/abs/2605.20119</w:t>
      </w:r>
    </w:p>
  </w:footnote>
  <w:footnote w:id="8">
    <w:p>
      <w:r>
        <w:footnoteRef/>
      </w:r>
      <w:r>
        <w:t> Toto repository. https://github.com/DataDog/toto</w:t>
      </w:r>
    </w:p>
  </w:footnote>
  <w:footnote w:id="9">
    <w:p>
      <w:r>
        <w:footnoteRef/>
      </w:r>
      <w:r>
        <w:t> Moirai 2.0 paper. https://arxiv.org/abs/2511.11698</w:t>
      </w:r>
    </w:p>
  </w:footnote>
  <w:footnote w:id="10">
    <w:p>
      <w:r>
        <w:footnoteRef/>
      </w:r>
      <w:r>
        <w:t> Salesforce Uni2TS repository. https://github.com/SalesforceAIResearch/uni2ts</w:t>
      </w:r>
    </w:p>
  </w:footnote>
  <w:footnote w:id="11">
    <w:p>
      <w:r>
        <w:footnoteRef/>
      </w:r>
      <w:r>
        <w:t> TSMixer paper. https://arxiv.org/abs/2306.09364</w:t>
      </w:r>
    </w:p>
  </w:footnote>
  <w:footnote w:id="12">
    <w:p>
      <w:r>
        <w:footnoteRef/>
      </w:r>
      <w:r>
        <w:t> OOD wildfire forecasting comparison. https://arxiv.org/abs/2607.07951</w:t>
      </w:r>
    </w:p>
  </w:footnote>
  <w:footnote w:id="13">
    <w:p>
      <w:r>
        <w:footnoteRef/>
      </w:r>
      <w:r>
        <w:t> Chronos-Bolt in Amazon repository. https://github.com/amazon-science/chronos-forecasting</w:t>
      </w:r>
    </w:p>
  </w:footnote>
  <w:footnote w:id="14">
    <w:p>
      <w:r>
        <w:footnoteRef/>
      </w:r>
      <w:r>
        <w:t> IBM Granite TSFM repository. https://github.com/ibm-granite/granite-tsfm</w:t>
      </w:r>
    </w:p>
  </w:footnote>
  <w:footnote w:id="15">
    <w:p>
      <w:r>
        <w:footnoteRef/>
      </w:r>
      <w:r>
        <w:t> Tiny Time Mixers paper. https://arxiv.org/abs/2401.03955</w:t>
      </w:r>
    </w:p>
  </w:footnote>
  <w:footnote w:id="16">
    <w:p>
      <w:r>
        <w:footnoteRef/>
      </w:r>
      <w:r>
        <w:t> Google DeepMind: AlphaEvolve. https://deepmind.google/blog/alphaevolve-a-gemini-powered-coding-agent-for-designing-advanced-algorithms/</w:t>
      </w:r>
    </w:p>
  </w:footnote>
  <w:footnote w:id="17">
    <w:p>
      <w:r>
        <w:footnoteRef/>
      </w:r>
      <w:r>
        <w:t> Karpathy autoresearch repository. https://github.com/karpathy/autoresearch</w:t>
      </w:r>
    </w:p>
  </w:footnote>
  <w:footnote w:id="18">
    <w:p>
      <w:r>
        <w:footnoteRef/>
      </w:r>
      <w:r>
        <w:t> Sakana AI Scientist v2. https://github.com/SakanaAI/AI-Scientist-v2</w:t>
      </w:r>
    </w:p>
  </w:footnote>
  <w:footnote w:id="19">
    <w:p>
      <w:r>
        <w:footnoteRef/>
      </w:r>
      <w:r>
        <w:t> TimeSeriesScientist paper. https://arxiv.org/abs/2510.01538</w:t>
      </w:r>
    </w:p>
  </w:footnote>
  <w:footnote w:id="20">
    <w:p>
      <w:r>
        <w:footnoteRef/>
      </w:r>
      <w:r>
        <w:t> SEA-TS paper. https://arxiv.org/abs/2603.04873</w:t>
      </w:r>
    </w:p>
  </w:footnote>
  <w:footnote w:id="21">
    <w:p>
      <w:r>
        <w:footnoteRef/>
      </w:r>
      <w:r>
        <w:t> Cast-R1 repository. https://github.com/Xiaoyu-Tao/Cast-R1-TS</w:t>
      </w:r>
    </w:p>
  </w:footnote>
  <w:footnote w:id="22">
    <w:p>
      <w:r>
        <w:footnoteRef/>
      </w:r>
      <w:r>
        <w:t> CastFSR repository. https://github.com/Xiaoyu-Tao/CastFSR</w:t>
      </w:r>
    </w:p>
  </w:footnote>
  <w:footnote w:id="23">
    <w:p>
      <w:r>
        <w:footnoteRef/>
      </w:r>
      <w:r>
        <w:t> CastClaw paper. https://arxiv.org/abs/2608.30976</w:t>
      </w:r>
    </w:p>
  </w:footnote>
  <w:footnote w:id="24">
    <w:p>
      <w:r>
        <w:footnoteRef/>
      </w:r>
      <w:r>
        <w:t> AutoGluon TimeSeries model zoo. https://auto.gluon.ai/stable/tutorials/timeseries/forecasting-model-zoo.html</w:t>
      </w:r>
    </w:p>
  </w:footnote>
  <w:footnote w:id="25">
    <w:p>
      <w:r>
        <w:footnoteRef/>
      </w:r>
      <w:r>
        <w:t> MLForecast repository. https://github.com/Nixtla/mlforecast</w:t>
      </w:r>
    </w:p>
  </w:footnote>
  <w:footnote w:id="26">
    <w:p>
      <w:r>
        <w:footnoteRef/>
      </w:r>
      <w:r>
        <w:t> HierarchicalForecast repository. https://github.com/Nixtla/hierarchicalforecast</w:t>
      </w:r>
    </w:p>
  </w:footnote>
  <w:footnote w:id="27">
    <w:p>
      <w:r>
        <w:footnoteRef/>
      </w:r>
      <w:r>
        <w:t> sktime documentation. https://www.sktime.net/</w:t>
      </w:r>
    </w:p>
  </w:footnote>
  <w:footnote w:id="28">
    <w:p>
      <w:r>
        <w:footnoteRef/>
      </w:r>
      <w:r>
        <w:t> modeltime documentation. https://business-science.github.io/modeltime/</w:t>
      </w:r>
    </w:p>
  </w:footnote>
  <w:footnote w:id="29">
    <w:p>
      <w:r>
        <w:footnoteRef/>
      </w:r>
      <w:r>
        <w:t> fable documentation. https://fable.tidyverts.org/</w:t>
      </w:r>
    </w:p>
  </w:footnote>
  <w:footnote w:id="30">
    <w:p>
      <w:r>
        <w:footnoteRef/>
      </w:r>
      <w:r>
        <w:t> forecast package. https://pkg.robjhyndman.com/forecast/</w:t>
      </w:r>
    </w:p>
  </w:footnote>
  <w:footnote w:id="31">
    <w:p>
      <w:r>
        <w:footnoteRef/>
      </w:r>
      <w:r>
        <w:t> distributional repository. https://github.com/mitchelloharawild/distributional</w:t>
      </w:r>
    </w:p>
  </w:footnote>
  <w:footnote w:id="32">
    <w:p>
      <w:r>
        <w:footnoteRef/>
      </w:r>
      <w:r>
        <w:t> Forecasting: Principles and Practice — accuracy and time-series CV. https://otexts.com/fpp3/accuracy.html</w:t>
      </w:r>
    </w:p>
  </w:footnote>
  <w:footnote w:id="33">
    <w:p>
      <w:r>
        <w:footnoteRef/>
      </w:r>
      <w:r>
        <w:t> Gneiting &amp; Raftery: strictly proper scoring rules. https://sites.stat.washington.edu/raftery/Research/PDF/Gneiting2007jasa.pdf</w:t>
      </w:r>
    </w:p>
  </w:footnote>
  <w:footnote w:id="34">
    <w:p>
      <w:r>
        <w:footnoteRef/>
      </w:r>
      <w:r>
        <w:t> Bracher et al.: weighted interval score. https://pmc.ncbi.nlm.nih.gov/articles/PMC7880475/</w:t>
      </w:r>
    </w:p>
  </w:footnote>
  <w:footnote w:id="35">
    <w:p>
      <w:r>
        <w:footnoteRef/>
      </w:r>
      <w:r>
        <w:t> Conformalized Quantile Regression. https://proceedings.neurips.cc/paper_files/paper/2019/hash/5103c3584b063c431bd1268e9b5e76fb-Abstract.html</w:t>
      </w:r>
    </w:p>
  </w:footnote>
  <w:footnote w:id="36">
    <w:p>
      <w:r>
        <w:footnoteRef/>
      </w:r>
      <w:r>
        <w:t> EnbPI for time series. https://proceedings.mlr.press/v139/xu21h.html</w:t>
      </w:r>
    </w:p>
  </w:footnote>
  <w:footnote w:id="37">
    <w:p>
      <w:r>
        <w:footnoteRef/>
      </w:r>
      <w:r>
        <w:t> Adaptive Conformal Inference. https://proceedings.neurips.cc/paper/2021/hash/0d441de75945e5acbc865406fc9a2559-Abstract.html</w:t>
      </w:r>
    </w:p>
  </w:footnote>
  <w:footnote w:id="38">
    <w:p>
      <w:r>
        <w:footnoteRef/>
      </w:r>
      <w:r>
        <w:t> Diebold &amp; Mariano: Comparing Predictive Accuracy. https://www.tandfonline.com/doi/abs/10.1080/07350015.1995.10524599</w:t>
      </w:r>
    </w:p>
  </w:footnote>
  <w:footnote w:id="39">
    <w:p>
      <w:r>
        <w:footnoteRef/>
      </w:r>
      <w:r>
        <w:t> Hansen, Lunde &amp; Nason: Model Confidence Set. https://onlinelibrary.wiley.com/doi/abs/10.3982/ECTA5771</w:t>
      </w:r>
    </w:p>
  </w:footnote>
  <w:footnote w:id="40">
    <w:p>
      <w:r>
        <w:footnoteRef/>
      </w:r>
      <w:r>
        <w:t> TimeCopilot documentation. https://timecopilot.dev/</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23232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16324F"/>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294C6B"/>
      <w:sz w:val="25"/>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Display" w:hAnsi="Aptos Display"/>
      <w:b/>
      <w:bCs/>
      <w:color w:val="294C6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60" w:line="240" w:lineRule="auto" w:before="0"/>
      <w:contextualSpacing/>
      <w:jc w:val="left"/>
    </w:pPr>
    <w:rPr>
      <w:rFonts w:asciiTheme="majorHAnsi" w:eastAsiaTheme="majorEastAsia" w:hAnsiTheme="majorHAnsi" w:cstheme="majorBidi" w:ascii="Aptos Display" w:hAnsi="Aptos Display"/>
      <w:b/>
      <w:color w:val="111111"/>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xecutive">
    <w:name w:val="Executive"/>
    <w:pPr>
      <w:spacing w:after="180" w:line="269" w:lineRule="auto"/>
    </w:pPr>
    <w:rPr>
      <w:rFonts w:ascii="Aptos" w:hAnsi="Aptos"/>
      <w:color w:val="141414"/>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SOTA прогнозирования временных рядов</dc:title>
  <dc:subject>Foundation models, Transformers, autoresearch, accuracy and uncertainty analysis</dc:subject>
  <dc:creator>python-docx</dc:creator>
  <cp:keywords>time series, forecasting, transformers, foundation models, autoresearch, conformal prediction, CI</cp:keywords>
  <dc:description>generated by python-docx</dc:description>
  <cp:lastModifiedBy/>
  <cp:revision>1</cp:revision>
  <dcterms:created xsi:type="dcterms:W3CDTF">2013-12-23T23:15:00Z</dcterms:created>
  <dcterms:modified xsi:type="dcterms:W3CDTF">2013-12-23T23:15:00Z</dcterms:modified>
  <cp:category/>
</cp:coreProperties>
</file>